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16B60" w14:textId="7D1F052A" w:rsidR="00202B11" w:rsidRDefault="00202B11" w:rsidP="004908D5">
      <w:pPr>
        <w:jc w:val="center"/>
        <w:rPr>
          <w:b/>
          <w:bCs/>
        </w:rPr>
      </w:pPr>
      <w:r>
        <w:rPr>
          <w:b/>
          <w:bCs/>
        </w:rPr>
        <w:t>PhD Research Proposal</w:t>
      </w:r>
      <w:r w:rsidR="00062C7B">
        <w:rPr>
          <w:b/>
          <w:bCs/>
        </w:rPr>
        <w:t xml:space="preserve"> </w:t>
      </w:r>
      <w:r>
        <w:rPr>
          <w:b/>
          <w:bCs/>
        </w:rPr>
        <w:t>Submitted to the Institute of Development Studies</w:t>
      </w:r>
    </w:p>
    <w:p w14:paraId="021F8F41" w14:textId="77777777" w:rsidR="00202B11" w:rsidRDefault="00202B11" w:rsidP="004908D5">
      <w:pPr>
        <w:jc w:val="center"/>
        <w:rPr>
          <w:b/>
          <w:bCs/>
        </w:rPr>
      </w:pPr>
    </w:p>
    <w:p w14:paraId="7F86AC02" w14:textId="2AA4EC39" w:rsidR="007307E3" w:rsidRDefault="00062C7B" w:rsidP="004908D5">
      <w:pPr>
        <w:jc w:val="center"/>
        <w:rPr>
          <w:b/>
          <w:bCs/>
        </w:rPr>
      </w:pPr>
      <w:r>
        <w:rPr>
          <w:b/>
          <w:bCs/>
        </w:rPr>
        <w:t xml:space="preserve">by </w:t>
      </w:r>
      <w:r w:rsidR="00202B11">
        <w:rPr>
          <w:b/>
          <w:bCs/>
        </w:rPr>
        <w:t>Susana Araujo</w:t>
      </w:r>
    </w:p>
    <w:p w14:paraId="5DF6FF2B" w14:textId="45C37C87" w:rsidR="007307E3" w:rsidRPr="007307E3" w:rsidRDefault="007307E3" w:rsidP="004908D5">
      <w:pPr>
        <w:jc w:val="center"/>
      </w:pPr>
      <w:r w:rsidRPr="007307E3">
        <w:t>July 2020</w:t>
      </w:r>
    </w:p>
    <w:p w14:paraId="684CB3A9" w14:textId="7D09F597" w:rsidR="00202B11" w:rsidRDefault="00202B11" w:rsidP="004908D5">
      <w:pPr>
        <w:rPr>
          <w:b/>
          <w:bCs/>
        </w:rPr>
      </w:pPr>
    </w:p>
    <w:p w14:paraId="6270A8B7" w14:textId="5A58C272" w:rsidR="00202B11" w:rsidRDefault="001E77EE" w:rsidP="004908D5">
      <w:pPr>
        <w:rPr>
          <w:b/>
          <w:bCs/>
        </w:rPr>
      </w:pPr>
      <w:r>
        <w:rPr>
          <w:b/>
          <w:bCs/>
        </w:rPr>
        <w:t>Tit</w:t>
      </w:r>
      <w:bookmarkStart w:id="0" w:name="_GoBack"/>
      <w:bookmarkEnd w:id="0"/>
      <w:r w:rsidR="0013021D" w:rsidRPr="0013021D">
        <w:rPr>
          <w:b/>
          <w:bCs/>
        </w:rPr>
        <w:t>le</w:t>
      </w:r>
      <w:r w:rsidR="00202B11">
        <w:rPr>
          <w:b/>
          <w:bCs/>
        </w:rPr>
        <w:t xml:space="preserve"> </w:t>
      </w:r>
    </w:p>
    <w:p w14:paraId="018CD332" w14:textId="77777777" w:rsidR="00202B11" w:rsidRDefault="00202B11" w:rsidP="004908D5">
      <w:pPr>
        <w:rPr>
          <w:b/>
          <w:bCs/>
        </w:rPr>
      </w:pPr>
    </w:p>
    <w:p w14:paraId="641E93BA" w14:textId="7E26DD32" w:rsidR="00202B11" w:rsidRPr="00202B11" w:rsidRDefault="00202B11" w:rsidP="004908D5">
      <w:pPr>
        <w:rPr>
          <w:b/>
          <w:bCs/>
        </w:rPr>
      </w:pPr>
      <w:r w:rsidRPr="00631812">
        <w:t xml:space="preserve">Feminist Leadership </w:t>
      </w:r>
      <w:r w:rsidR="00930E96">
        <w:t>and</w:t>
      </w:r>
      <w:r w:rsidRPr="00631812">
        <w:t xml:space="preserve"> Gender Backlash in Peru: The Inclusion of Gender Equality in the New Basic Education Curriculum</w:t>
      </w:r>
    </w:p>
    <w:p w14:paraId="611BD289" w14:textId="77777777" w:rsidR="00202B11" w:rsidRPr="0013021D" w:rsidRDefault="00202B11" w:rsidP="004908D5"/>
    <w:p w14:paraId="30DA0BF0" w14:textId="3867F146" w:rsidR="0013021D" w:rsidRPr="0013021D" w:rsidRDefault="0013021D" w:rsidP="004908D5">
      <w:pPr>
        <w:pStyle w:val="ListParagraph"/>
        <w:numPr>
          <w:ilvl w:val="0"/>
          <w:numId w:val="2"/>
        </w:numPr>
        <w:rPr>
          <w:b/>
          <w:bCs/>
        </w:rPr>
      </w:pPr>
      <w:r w:rsidRPr="0013021D">
        <w:rPr>
          <w:b/>
          <w:bCs/>
        </w:rPr>
        <w:t>Introduction</w:t>
      </w:r>
    </w:p>
    <w:p w14:paraId="62D6B8E6" w14:textId="509A2184" w:rsidR="0013021D" w:rsidRDefault="0013021D" w:rsidP="004908D5"/>
    <w:p w14:paraId="63EAB76C" w14:textId="5572A153" w:rsidR="00202B11" w:rsidRDefault="00202B11" w:rsidP="004908D5">
      <w:pPr>
        <w:autoSpaceDE w:val="0"/>
        <w:autoSpaceDN w:val="0"/>
        <w:adjustRightInd w:val="0"/>
      </w:pPr>
      <w:r w:rsidRPr="00D24FC5">
        <w:t>Latin America is facing a common</w:t>
      </w:r>
      <w:r w:rsidR="00DA0E96">
        <w:t xml:space="preserve"> </w:t>
      </w:r>
      <w:r w:rsidRPr="00D24FC5">
        <w:t xml:space="preserve">form of gender backlash (Balchin 2011; Burneo 2018; Corredor 2019). </w:t>
      </w:r>
      <w:r w:rsidR="00DA0E96">
        <w:t xml:space="preserve">The </w:t>
      </w:r>
      <w:r w:rsidR="00477378">
        <w:t xml:space="preserve">historical </w:t>
      </w:r>
      <w:r w:rsidR="00DA0E96" w:rsidRPr="00477378">
        <w:t>opposition against</w:t>
      </w:r>
      <w:r w:rsidR="00477378" w:rsidRPr="00477378">
        <w:t xml:space="preserve"> </w:t>
      </w:r>
      <w:r w:rsidR="00DA0E96" w:rsidRPr="00477378">
        <w:t>the advancement of women’s and LGTBQI rights</w:t>
      </w:r>
      <w:r w:rsidR="00DA0E96">
        <w:t xml:space="preserve"> </w:t>
      </w:r>
      <w:r w:rsidR="00477378">
        <w:t xml:space="preserve">conforms now </w:t>
      </w:r>
      <w:r>
        <w:t xml:space="preserve">a transnational movement that </w:t>
      </w:r>
      <w:r w:rsidR="00DA0E96">
        <w:t>uses the term</w:t>
      </w:r>
      <w:r>
        <w:t xml:space="preserve"> ‘gender ideology’ </w:t>
      </w:r>
      <w:r w:rsidR="00DA0E96">
        <w:t>to oppose</w:t>
      </w:r>
      <w:r>
        <w:t xml:space="preserve"> policies around sexuality</w:t>
      </w:r>
      <w:r w:rsidR="00DA0E96">
        <w:t xml:space="preserve"> </w:t>
      </w:r>
      <w:r>
        <w:t>and education</w:t>
      </w:r>
      <w:r w:rsidR="00DA0E96">
        <w:t xml:space="preserve"> (Balchin 2011; </w:t>
      </w:r>
      <w:r w:rsidR="00DA0E96" w:rsidRPr="00DA0E96">
        <w:t>Bracke and Paternotte 2016</w:t>
      </w:r>
      <w:r w:rsidR="00DA0E96">
        <w:t xml:space="preserve">; </w:t>
      </w:r>
      <w:r w:rsidR="00DA0E96" w:rsidRPr="00DA0E96">
        <w:t>Sweetman 2017</w:t>
      </w:r>
      <w:r w:rsidR="00F50C2E">
        <w:t xml:space="preserve">; </w:t>
      </w:r>
      <w:r w:rsidR="00F50C2E" w:rsidRPr="00A6576F">
        <w:t>Corrêa, Paternotte and Kuhar 2018</w:t>
      </w:r>
      <w:r w:rsidR="00DA0E96">
        <w:t>)</w:t>
      </w:r>
      <w:r>
        <w:t xml:space="preserve">. </w:t>
      </w:r>
      <w:r w:rsidR="00DA0E96">
        <w:t>These groups</w:t>
      </w:r>
      <w:r>
        <w:t xml:space="preserve"> are linked to the most conservative </w:t>
      </w:r>
      <w:r w:rsidR="00930E96">
        <w:t>sectors</w:t>
      </w:r>
      <w:r>
        <w:t xml:space="preserve"> of the Catholic and Evangelical churches</w:t>
      </w:r>
      <w:r w:rsidR="00DA0E96">
        <w:t xml:space="preserve"> </w:t>
      </w:r>
      <w:r w:rsidR="00DA0E96" w:rsidRPr="00DA0E96">
        <w:t>(Barrera 2017; Burneo 2018; Corredor 2019)</w:t>
      </w:r>
      <w:r>
        <w:t xml:space="preserve"> </w:t>
      </w:r>
      <w:r w:rsidR="00DA0E96">
        <w:t>a</w:t>
      </w:r>
      <w:r>
        <w:t xml:space="preserve">nd they </w:t>
      </w:r>
      <w:r w:rsidR="00477378">
        <w:t xml:space="preserve">actively </w:t>
      </w:r>
      <w:r>
        <w:t xml:space="preserve">engage </w:t>
      </w:r>
      <w:r w:rsidR="00930E96">
        <w:t>in</w:t>
      </w:r>
      <w:r>
        <w:t xml:space="preserve"> the political arena creating </w:t>
      </w:r>
      <w:r w:rsidR="00477378">
        <w:t xml:space="preserve">new </w:t>
      </w:r>
      <w:r>
        <w:t>civil society organisations, mobilising people in the streets and forming unprecedented cross-faith coalitions</w:t>
      </w:r>
      <w:r w:rsidR="00DA0E96">
        <w:t xml:space="preserve"> (</w:t>
      </w:r>
      <w:r w:rsidR="00DA0E96" w:rsidRPr="00DA0E96">
        <w:t>Corrêa 2017</w:t>
      </w:r>
      <w:r w:rsidR="00DA0E96">
        <w:t xml:space="preserve">; </w:t>
      </w:r>
      <w:r w:rsidR="00DA0E96" w:rsidRPr="00DA0E96">
        <w:t>Motta and Amat y León 2018)</w:t>
      </w:r>
      <w:r>
        <w:t xml:space="preserve">. </w:t>
      </w:r>
    </w:p>
    <w:p w14:paraId="598DEC72" w14:textId="34B4A962" w:rsidR="00477378" w:rsidRDefault="00477378" w:rsidP="004908D5">
      <w:pPr>
        <w:autoSpaceDE w:val="0"/>
        <w:autoSpaceDN w:val="0"/>
        <w:adjustRightInd w:val="0"/>
      </w:pPr>
    </w:p>
    <w:p w14:paraId="63F5C03D" w14:textId="753C640B" w:rsidR="00477378" w:rsidRDefault="00477378" w:rsidP="004908D5">
      <w:pPr>
        <w:autoSpaceDE w:val="0"/>
        <w:autoSpaceDN w:val="0"/>
        <w:adjustRightInd w:val="0"/>
      </w:pPr>
      <w:r>
        <w:t xml:space="preserve">In Peru, </w:t>
      </w:r>
      <w:r w:rsidR="007D17EC">
        <w:t>t</w:t>
      </w:r>
      <w:r w:rsidR="00E91CE3" w:rsidRPr="00477378">
        <w:t xml:space="preserve">he implementation of the </w:t>
      </w:r>
      <w:r w:rsidR="00E91CE3">
        <w:t xml:space="preserve">new basic education </w:t>
      </w:r>
      <w:r w:rsidR="00E91CE3" w:rsidRPr="00477378">
        <w:t>curriculum in 2016</w:t>
      </w:r>
      <w:r w:rsidR="00E91CE3">
        <w:t xml:space="preserve"> represented an opportunity </w:t>
      </w:r>
      <w:r w:rsidR="007D17EC">
        <w:t>for the</w:t>
      </w:r>
      <w:r w:rsidR="00930E96">
        <w:t>se</w:t>
      </w:r>
      <w:r w:rsidR="007D17EC">
        <w:t xml:space="preserve"> opposition groups </w:t>
      </w:r>
      <w:r w:rsidR="00E91CE3">
        <w:t xml:space="preserve">to push </w:t>
      </w:r>
      <w:r w:rsidR="007D17EC">
        <w:t xml:space="preserve">the </w:t>
      </w:r>
      <w:r w:rsidR="00E91CE3">
        <w:t>agenda against gender equality gains (</w:t>
      </w:r>
      <w:r w:rsidR="00E91CE3" w:rsidRPr="00DA0E96">
        <w:t>Motta and Amat y León 2018</w:t>
      </w:r>
      <w:r w:rsidR="00E91CE3" w:rsidRPr="00E91CE3">
        <w:t>; Gallego and Romero, 2019;</w:t>
      </w:r>
      <w:r w:rsidR="00E91CE3">
        <w:t xml:space="preserve"> </w:t>
      </w:r>
      <w:r w:rsidR="00E91CE3" w:rsidRPr="00E91CE3">
        <w:t>Meneses, 2019</w:t>
      </w:r>
      <w:r w:rsidR="00E91CE3" w:rsidRPr="00DA0E96">
        <w:t>)</w:t>
      </w:r>
      <w:r w:rsidR="00E91CE3" w:rsidRPr="00477378">
        <w:t xml:space="preserve">. </w:t>
      </w:r>
      <w:r w:rsidR="00EA1BA5">
        <w:t>During 2017 and 2019</w:t>
      </w:r>
      <w:r w:rsidR="00E91CE3">
        <w:t>,</w:t>
      </w:r>
      <w:r w:rsidR="00E91CE3" w:rsidRPr="00477378">
        <w:t xml:space="preserve"> </w:t>
      </w:r>
      <w:r w:rsidR="007D17EC">
        <w:t xml:space="preserve">thousands of people mobilised on under the campaign </w:t>
      </w:r>
      <w:r w:rsidR="007D17EC" w:rsidRPr="00E91CE3">
        <w:rPr>
          <w:i/>
          <w:iCs/>
        </w:rPr>
        <w:t>Con Mis Hijos No Te Metas</w:t>
      </w:r>
      <w:r w:rsidR="007D17EC">
        <w:t xml:space="preserve"> (‘Don’t Mess Up With My Kids’), they </w:t>
      </w:r>
      <w:r w:rsidR="00E91CE3">
        <w:t>achieved</w:t>
      </w:r>
      <w:r w:rsidR="00E91CE3" w:rsidRPr="00477378">
        <w:t xml:space="preserve"> to censor two Ministers of Education and blocked the implementation of the curriculum </w:t>
      </w:r>
      <w:r w:rsidR="00930E96">
        <w:t>in court</w:t>
      </w:r>
      <w:r w:rsidR="00E91CE3">
        <w:t xml:space="preserve"> (</w:t>
      </w:r>
      <w:r w:rsidR="00E91CE3" w:rsidRPr="00477378">
        <w:t>Gallego and Romero 2019).</w:t>
      </w:r>
    </w:p>
    <w:p w14:paraId="7866BFD6" w14:textId="18DA5DF2" w:rsidR="00EA1BA5" w:rsidRDefault="00EA1BA5" w:rsidP="004908D5">
      <w:pPr>
        <w:autoSpaceDE w:val="0"/>
        <w:autoSpaceDN w:val="0"/>
        <w:adjustRightInd w:val="0"/>
      </w:pPr>
    </w:p>
    <w:p w14:paraId="3745C3DF" w14:textId="144500E3" w:rsidR="00EA1BA5" w:rsidRDefault="00EA1BA5" w:rsidP="004908D5">
      <w:pPr>
        <w:autoSpaceDE w:val="0"/>
        <w:autoSpaceDN w:val="0"/>
        <w:adjustRightInd w:val="0"/>
      </w:pPr>
      <w:r w:rsidRPr="00EA1BA5">
        <w:t xml:space="preserve">This organised backlash </w:t>
      </w:r>
      <w:r>
        <w:t xml:space="preserve">has </w:t>
      </w:r>
      <w:r w:rsidRPr="00EA1BA5">
        <w:t xml:space="preserve">an impact on the feminist movement </w:t>
      </w:r>
      <w:r w:rsidR="00930E96">
        <w:t>and the gender equality agenda</w:t>
      </w:r>
      <w:r>
        <w:t>. This study aims to analyse what is the nature of th</w:t>
      </w:r>
      <w:r w:rsidR="007D17EC">
        <w:t>is impact and how the feminist movement is resisting and responding th</w:t>
      </w:r>
      <w:r w:rsidR="00930E96">
        <w:t>e</w:t>
      </w:r>
      <w:r w:rsidR="007D17EC">
        <w:t xml:space="preserve"> challenge</w:t>
      </w:r>
      <w:r w:rsidR="00930E96">
        <w:t xml:space="preserve"> posed by the opposition </w:t>
      </w:r>
      <w:r w:rsidR="00062C7B">
        <w:t>actors</w:t>
      </w:r>
      <w:r w:rsidR="007D17EC">
        <w:t xml:space="preserve">. The research also intends to unpack the nature of the </w:t>
      </w:r>
      <w:r>
        <w:t>backlash in the region</w:t>
      </w:r>
      <w:r w:rsidR="007D17EC">
        <w:t xml:space="preserve"> and how it features as a transnational </w:t>
      </w:r>
      <w:r w:rsidR="00930E96">
        <w:t>phenomenon</w:t>
      </w:r>
      <w:r w:rsidR="007D17EC">
        <w:t xml:space="preserve">. </w:t>
      </w:r>
    </w:p>
    <w:p w14:paraId="5D8E0434" w14:textId="77777777" w:rsidR="00AE45E9" w:rsidRPr="0013021D" w:rsidRDefault="00AE45E9" w:rsidP="004908D5"/>
    <w:p w14:paraId="703C49CE" w14:textId="19792B2D" w:rsidR="00F50C2E" w:rsidRPr="00F50C2E" w:rsidRDefault="0013021D" w:rsidP="004908D5">
      <w:pPr>
        <w:pStyle w:val="ListParagraph"/>
        <w:numPr>
          <w:ilvl w:val="0"/>
          <w:numId w:val="2"/>
        </w:numPr>
        <w:rPr>
          <w:b/>
          <w:bCs/>
        </w:rPr>
      </w:pPr>
      <w:r w:rsidRPr="0013021D">
        <w:rPr>
          <w:b/>
          <w:bCs/>
        </w:rPr>
        <w:t>Problem statement and research question</w:t>
      </w:r>
      <w:r w:rsidR="00F50C2E">
        <w:rPr>
          <w:b/>
          <w:bCs/>
        </w:rPr>
        <w:t>s</w:t>
      </w:r>
    </w:p>
    <w:p w14:paraId="192296E1" w14:textId="5F02FB7F" w:rsidR="00AE3D31" w:rsidRDefault="00AE3D31" w:rsidP="004908D5"/>
    <w:p w14:paraId="740F9AA1" w14:textId="55D13633" w:rsidR="0053296A" w:rsidRDefault="00AE3D31" w:rsidP="004908D5">
      <w:r w:rsidRPr="00A6576F">
        <w:t xml:space="preserve">Following Susan Faludi (1991), backlash refers to the episodes of acute opposition that women’s rights and feminist goals face, </w:t>
      </w:r>
      <w:r w:rsidR="00930E96">
        <w:t>which are different</w:t>
      </w:r>
      <w:r w:rsidRPr="00A6576F">
        <w:t xml:space="preserve"> to the constant misogyny part of the patriarchal system. </w:t>
      </w:r>
      <w:r w:rsidR="00C3031B" w:rsidRPr="00A6576F">
        <w:t>Jane Mansbridge and Shauna Shames (2008) reconceptualise ‘backlash’ in relation to power structures, aiming to find a more neutral way of explaining the phenomenon.</w:t>
      </w:r>
      <w:r w:rsidR="00C3031B">
        <w:t xml:space="preserve"> </w:t>
      </w:r>
      <w:r w:rsidR="0053296A">
        <w:t xml:space="preserve">Scholars agree that there is a </w:t>
      </w:r>
      <w:r w:rsidR="0053296A" w:rsidRPr="00F50C2E">
        <w:t xml:space="preserve">current wave of </w:t>
      </w:r>
      <w:r w:rsidR="0053025C">
        <w:t xml:space="preserve">gender </w:t>
      </w:r>
      <w:r w:rsidR="0053296A" w:rsidRPr="00F50C2E">
        <w:t xml:space="preserve">backlash </w:t>
      </w:r>
      <w:r w:rsidR="0053025C">
        <w:t xml:space="preserve">across the globe </w:t>
      </w:r>
      <w:r w:rsidR="0053296A">
        <w:t xml:space="preserve">that </w:t>
      </w:r>
      <w:r w:rsidR="0053296A" w:rsidRPr="00F50C2E">
        <w:t>serves as a mobilising tool for opposi</w:t>
      </w:r>
      <w:r w:rsidR="0053025C">
        <w:t>ng</w:t>
      </w:r>
      <w:r w:rsidR="0053296A" w:rsidRPr="00F50C2E">
        <w:t xml:space="preserve"> social change</w:t>
      </w:r>
      <w:r w:rsidR="0053296A">
        <w:t xml:space="preserve"> </w:t>
      </w:r>
      <w:r w:rsidR="0053296A" w:rsidRPr="00A6576F">
        <w:t>(Kovátz 2018; Krizsan and Roggeband 2018; Verloo and Paternotte 2018; Goetz 2019).</w:t>
      </w:r>
      <w:r w:rsidR="0053296A">
        <w:t xml:space="preserve"> Some of </w:t>
      </w:r>
      <w:r w:rsidR="0053025C">
        <w:t>its</w:t>
      </w:r>
      <w:r w:rsidR="0053296A">
        <w:t xml:space="preserve"> manifestations are related to the </w:t>
      </w:r>
      <w:r w:rsidR="0053296A" w:rsidRPr="00A6576F">
        <w:t>de-institutionalisation of women’s protection systems</w:t>
      </w:r>
      <w:r w:rsidR="0053296A">
        <w:t xml:space="preserve"> (Goetz 2019); </w:t>
      </w:r>
      <w:r w:rsidR="0053296A" w:rsidRPr="00A6576F">
        <w:t>the resurgence of maternalism and familyist approaches in anti-poverty policies (Goetz, 2019)</w:t>
      </w:r>
      <w:r w:rsidR="0053296A">
        <w:t xml:space="preserve">; </w:t>
      </w:r>
      <w:r w:rsidR="0053296A" w:rsidRPr="00A6576F">
        <w:t>the closure of civic space (Sweetman 2017; Kriszand and Roggeband 2018; Goetz 2019)</w:t>
      </w:r>
      <w:r w:rsidR="0053296A">
        <w:t xml:space="preserve">; and </w:t>
      </w:r>
      <w:r w:rsidR="0053296A" w:rsidRPr="00A6576F">
        <w:lastRenderedPageBreak/>
        <w:t xml:space="preserve">the use of </w:t>
      </w:r>
      <w:r w:rsidR="0053296A">
        <w:t xml:space="preserve">social media </w:t>
      </w:r>
      <w:r w:rsidR="0053296A" w:rsidRPr="00A6576F">
        <w:t xml:space="preserve">as </w:t>
      </w:r>
      <w:r w:rsidR="0053025C">
        <w:t xml:space="preserve">a </w:t>
      </w:r>
      <w:r w:rsidR="0053296A" w:rsidRPr="00A6576F">
        <w:t>new evangelisation tool (Bracke and Paternotte, 2016; Paternotte and Kuhar, 2018)</w:t>
      </w:r>
      <w:r w:rsidR="0053296A">
        <w:t>.</w:t>
      </w:r>
    </w:p>
    <w:p w14:paraId="5D5E7631" w14:textId="77777777" w:rsidR="0053296A" w:rsidRDefault="0053296A" w:rsidP="004908D5">
      <w:pPr>
        <w:autoSpaceDE w:val="0"/>
        <w:autoSpaceDN w:val="0"/>
        <w:adjustRightInd w:val="0"/>
      </w:pPr>
    </w:p>
    <w:p w14:paraId="71B6FF35" w14:textId="113FC0B9" w:rsidR="0053296A" w:rsidRDefault="00C3031B" w:rsidP="004908D5">
      <w:pPr>
        <w:autoSpaceDE w:val="0"/>
        <w:autoSpaceDN w:val="0"/>
        <w:adjustRightInd w:val="0"/>
      </w:pPr>
      <w:r>
        <w:t xml:space="preserve">Ongoing conceptual debates </w:t>
      </w:r>
      <w:r w:rsidR="00930E96">
        <w:t xml:space="preserve">around backlash </w:t>
      </w:r>
      <w:r>
        <w:t xml:space="preserve">focus </w:t>
      </w:r>
      <w:r w:rsidR="00930E96">
        <w:t>on</w:t>
      </w:r>
      <w:r w:rsidR="00253E70">
        <w:t xml:space="preserve"> </w:t>
      </w:r>
      <w:r w:rsidR="00F8559D">
        <w:t xml:space="preserve">two areas: how </w:t>
      </w:r>
      <w:r>
        <w:t>different categories of women experience backlash</w:t>
      </w:r>
      <w:r w:rsidR="00253E70">
        <w:t xml:space="preserve"> (</w:t>
      </w:r>
      <w:r w:rsidR="00253E70" w:rsidRPr="00A6576F">
        <w:t>Piscopo and Walsh 2020</w:t>
      </w:r>
      <w:r w:rsidR="00253E70">
        <w:t>)</w:t>
      </w:r>
      <w:r>
        <w:t xml:space="preserve"> and</w:t>
      </w:r>
      <w:r w:rsidR="00253E70">
        <w:t xml:space="preserve"> which are the </w:t>
      </w:r>
      <w:r w:rsidRPr="00A6576F">
        <w:t xml:space="preserve">ideological variations </w:t>
      </w:r>
      <w:r w:rsidR="0053025C">
        <w:t>of the</w:t>
      </w:r>
      <w:r w:rsidRPr="00A6576F">
        <w:t xml:space="preserve"> opposition actors</w:t>
      </w:r>
      <w:r w:rsidR="00253E70">
        <w:t xml:space="preserve"> (Braithwaite </w:t>
      </w:r>
      <w:r w:rsidR="00253E70" w:rsidRPr="00253E70">
        <w:t>2004</w:t>
      </w:r>
      <w:r w:rsidR="00253E70">
        <w:t xml:space="preserve">; </w:t>
      </w:r>
      <w:r w:rsidR="00253E70" w:rsidRPr="00253E70">
        <w:t>Jordan 2016</w:t>
      </w:r>
      <w:r w:rsidR="00253E70">
        <w:t xml:space="preserve">; </w:t>
      </w:r>
      <w:r w:rsidR="00253E70" w:rsidRPr="00253E70">
        <w:t>Piscopo 2017</w:t>
      </w:r>
      <w:r w:rsidR="00253E70">
        <w:t xml:space="preserve">; </w:t>
      </w:r>
      <w:r w:rsidR="00253E70" w:rsidRPr="00253E70">
        <w:t xml:space="preserve">Sen </w:t>
      </w:r>
      <w:r w:rsidR="00253E70" w:rsidRPr="00253E70">
        <w:rPr>
          <w:i/>
          <w:iCs/>
        </w:rPr>
        <w:t>et al</w:t>
      </w:r>
      <w:r w:rsidR="00253E70" w:rsidRPr="00253E70">
        <w:t>. 2017).</w:t>
      </w:r>
      <w:r w:rsidRPr="00253E70">
        <w:t xml:space="preserve"> </w:t>
      </w:r>
      <w:r w:rsidR="0053296A">
        <w:t>This</w:t>
      </w:r>
      <w:r w:rsidR="00930E96">
        <w:t xml:space="preserve"> is fundamental to understand the nature of backlash</w:t>
      </w:r>
      <w:r w:rsidR="00AE45E9" w:rsidRPr="00A6576F">
        <w:t xml:space="preserve"> </w:t>
      </w:r>
      <w:r w:rsidR="0053296A">
        <w:t xml:space="preserve">because it will </w:t>
      </w:r>
      <w:r w:rsidR="00930E96">
        <w:t>shape the response of the feminist movement</w:t>
      </w:r>
      <w:r w:rsidR="00AE45E9" w:rsidRPr="00A6576F">
        <w:t xml:space="preserve"> </w:t>
      </w:r>
      <w:r w:rsidR="0053296A">
        <w:t>to</w:t>
      </w:r>
      <w:r w:rsidR="00930E96">
        <w:t xml:space="preserve"> ensure </w:t>
      </w:r>
      <w:r w:rsidR="00930E96" w:rsidRPr="00A6576F">
        <w:t>gender equality gains</w:t>
      </w:r>
      <w:r w:rsidR="00930E96">
        <w:t xml:space="preserve"> </w:t>
      </w:r>
      <w:r w:rsidR="00AE45E9" w:rsidRPr="00A6576F">
        <w:t xml:space="preserve">(Mansbridge and Shames 2008; Piscopo 2017; Sen </w:t>
      </w:r>
      <w:r w:rsidR="00AE45E9" w:rsidRPr="00A6576F">
        <w:rPr>
          <w:i/>
          <w:iCs/>
        </w:rPr>
        <w:t>et al</w:t>
      </w:r>
      <w:r w:rsidR="00AE45E9" w:rsidRPr="00A6576F">
        <w:t>. 2017; Piscopo and Walsh</w:t>
      </w:r>
      <w:r w:rsidR="0053296A">
        <w:t xml:space="preserve"> </w:t>
      </w:r>
      <w:r w:rsidR="00AE45E9" w:rsidRPr="00A6576F">
        <w:t xml:space="preserve">2020). </w:t>
      </w:r>
      <w:r w:rsidR="0053296A">
        <w:t>However, s</w:t>
      </w:r>
      <w:r w:rsidR="00D0735C" w:rsidRPr="00A6576F">
        <w:t>cholars agree that the phenomenon is not fully theorised (</w:t>
      </w:r>
      <w:r w:rsidR="002D11CC" w:rsidRPr="00A6576F">
        <w:t xml:space="preserve">Jordan, 2016; </w:t>
      </w:r>
      <w:r w:rsidR="00D0735C" w:rsidRPr="00A6576F">
        <w:t>Sen, Vallejo and Walsh, 2017</w:t>
      </w:r>
      <w:r w:rsidR="00D0735C">
        <w:t xml:space="preserve">; </w:t>
      </w:r>
      <w:r w:rsidR="00D0735C" w:rsidRPr="00A6576F">
        <w:t xml:space="preserve">Goetz, 2019) and that more conceptual work needs to be done (Piscopo and Walsh, 2020). </w:t>
      </w:r>
      <w:r w:rsidR="00BA3749" w:rsidRPr="00A6576F">
        <w:t xml:space="preserve">The interest in the subject is reflected in the prolific academic production </w:t>
      </w:r>
      <w:r w:rsidR="00BA3749" w:rsidRPr="00D0735C">
        <w:t>in recent year</w:t>
      </w:r>
      <w:r w:rsidR="002D11CC">
        <w:t xml:space="preserve">s, particularly in the </w:t>
      </w:r>
      <w:r w:rsidR="00BA3749" w:rsidRPr="002D11CC">
        <w:t>US and Europe</w:t>
      </w:r>
      <w:r w:rsidR="002D11CC">
        <w:t>.</w:t>
      </w:r>
      <w:r w:rsidR="002D11CC" w:rsidRPr="002D11CC">
        <w:t xml:space="preserve"> </w:t>
      </w:r>
      <w:r w:rsidR="002D11CC">
        <w:t xml:space="preserve">However, </w:t>
      </w:r>
      <w:r w:rsidR="00473E6F">
        <w:t xml:space="preserve">there is a gap in </w:t>
      </w:r>
      <w:r w:rsidR="002D11CC">
        <w:t>t</w:t>
      </w:r>
      <w:r w:rsidR="00BA3749" w:rsidRPr="002D11CC">
        <w:t xml:space="preserve">he </w:t>
      </w:r>
      <w:r w:rsidR="00473E6F">
        <w:t xml:space="preserve">literature </w:t>
      </w:r>
      <w:r w:rsidR="0053296A">
        <w:t xml:space="preserve">referred to </w:t>
      </w:r>
      <w:r w:rsidR="00BA3749" w:rsidRPr="002D11CC">
        <w:t>the Global South</w:t>
      </w:r>
      <w:r w:rsidR="005A51A1">
        <w:t>,</w:t>
      </w:r>
      <w:r w:rsidR="00BA3749" w:rsidRPr="002D11CC">
        <w:t xml:space="preserve"> </w:t>
      </w:r>
      <w:r w:rsidR="00473E6F">
        <w:t>and m</w:t>
      </w:r>
      <w:r w:rsidR="002D11CC" w:rsidRPr="002D11CC">
        <w:t xml:space="preserve">ore analysis </w:t>
      </w:r>
      <w:r w:rsidR="005A51A1">
        <w:t>is</w:t>
      </w:r>
      <w:r w:rsidR="002D11CC" w:rsidRPr="002D11CC">
        <w:t xml:space="preserve"> needed</w:t>
      </w:r>
      <w:r w:rsidR="002D11CC" w:rsidRPr="00A6576F">
        <w:t xml:space="preserve"> to understand the drivers and specific configurations of opposition actors in </w:t>
      </w:r>
      <w:r w:rsidR="00F8559D">
        <w:t>developing contexts</w:t>
      </w:r>
      <w:r w:rsidR="002D11CC" w:rsidRPr="00A6576F">
        <w:t xml:space="preserve"> </w:t>
      </w:r>
      <w:r w:rsidR="002D11CC">
        <w:t>(</w:t>
      </w:r>
      <w:r w:rsidR="002D11CC" w:rsidRPr="00A6576F">
        <w:t>Vaggione 2008; Balchin 2011; Sweetman 2017; Goetz 2019</w:t>
      </w:r>
      <w:r w:rsidR="002D11CC">
        <w:t xml:space="preserve">). </w:t>
      </w:r>
    </w:p>
    <w:p w14:paraId="2D71CC4B" w14:textId="77777777" w:rsidR="0053296A" w:rsidRDefault="0053296A" w:rsidP="004908D5">
      <w:pPr>
        <w:autoSpaceDE w:val="0"/>
        <w:autoSpaceDN w:val="0"/>
        <w:adjustRightInd w:val="0"/>
      </w:pPr>
    </w:p>
    <w:p w14:paraId="0F3081C4" w14:textId="6AD9490E" w:rsidR="00502511" w:rsidRDefault="00473E6F" w:rsidP="004908D5">
      <w:r>
        <w:t>I</w:t>
      </w:r>
      <w:r w:rsidRPr="00C5428D">
        <w:t xml:space="preserve">n Latin America, the contemporary backlash </w:t>
      </w:r>
      <w:r w:rsidR="00442815">
        <w:t xml:space="preserve">has its own specificities. It </w:t>
      </w:r>
      <w:r w:rsidR="005A51A1">
        <w:t xml:space="preserve">is </w:t>
      </w:r>
      <w:r w:rsidR="005A51A1" w:rsidRPr="00C5428D">
        <w:t xml:space="preserve">not necessarily </w:t>
      </w:r>
      <w:r w:rsidR="00442815">
        <w:t>linked</w:t>
      </w:r>
      <w:r w:rsidR="005A51A1" w:rsidRPr="00C5428D">
        <w:t xml:space="preserve"> to the </w:t>
      </w:r>
      <w:r w:rsidR="005A51A1">
        <w:t>far-</w:t>
      </w:r>
      <w:r w:rsidR="005A51A1" w:rsidRPr="00C5428D">
        <w:t>right or to nationalis</w:t>
      </w:r>
      <w:r w:rsidR="005A51A1">
        <w:t>m</w:t>
      </w:r>
      <w:r w:rsidR="00442815">
        <w:t xml:space="preserve"> </w:t>
      </w:r>
      <w:r w:rsidR="005A51A1" w:rsidRPr="00C5428D">
        <w:t>(Bracke and Patternote 2016; Corrêa 2017)</w:t>
      </w:r>
      <w:r w:rsidR="00442815">
        <w:t xml:space="preserve"> but </w:t>
      </w:r>
      <w:r w:rsidRPr="00C5428D">
        <w:t xml:space="preserve">to the most conservative expressions of </w:t>
      </w:r>
      <w:r w:rsidR="005A51A1">
        <w:t>the Catholic</w:t>
      </w:r>
      <w:r w:rsidRPr="00C5428D">
        <w:t xml:space="preserve"> and </w:t>
      </w:r>
      <w:r>
        <w:t>E</w:t>
      </w:r>
      <w:r w:rsidRPr="00C5428D">
        <w:t>vangelical churches (Balchin 2011; Barrera 2017; Serrano 2017; Burneo 2018; Motta and Amat y León 2018)</w:t>
      </w:r>
      <w:r>
        <w:t xml:space="preserve">. </w:t>
      </w:r>
      <w:r w:rsidR="005043B5">
        <w:t>It is also a new form of transnational movement (</w:t>
      </w:r>
      <w:r w:rsidR="005043B5" w:rsidRPr="00C5428D">
        <w:t>Corrêa</w:t>
      </w:r>
      <w:r w:rsidR="005043B5">
        <w:t xml:space="preserve"> </w:t>
      </w:r>
      <w:r w:rsidR="005043B5" w:rsidRPr="00721877">
        <w:rPr>
          <w:i/>
          <w:iCs/>
        </w:rPr>
        <w:t>et al.</w:t>
      </w:r>
      <w:r w:rsidR="005043B5">
        <w:t xml:space="preserve"> 201</w:t>
      </w:r>
      <w:r w:rsidR="00721877">
        <w:t>8</w:t>
      </w:r>
      <w:r w:rsidR="005043B5">
        <w:t>)</w:t>
      </w:r>
      <w:r w:rsidR="002538A0">
        <w:t xml:space="preserve"> that engages in the political arena through the creation of confessional parties, the mobilisation of people in massive demonstrations and the confirmations of coalitions across different faiths (Motta and Amat y Leon 2018). Activists referred to this form of opposition as</w:t>
      </w:r>
      <w:r w:rsidR="0053296A">
        <w:t xml:space="preserve"> </w:t>
      </w:r>
      <w:r w:rsidR="005A51A1">
        <w:rPr>
          <w:i/>
          <w:iCs/>
        </w:rPr>
        <w:t>(</w:t>
      </w:r>
      <w:r w:rsidRPr="00C5428D">
        <w:rPr>
          <w:i/>
          <w:iCs/>
        </w:rPr>
        <w:t>religious</w:t>
      </w:r>
      <w:r w:rsidR="005A51A1">
        <w:rPr>
          <w:i/>
          <w:iCs/>
        </w:rPr>
        <w:t>)</w:t>
      </w:r>
      <w:r w:rsidRPr="00C5428D">
        <w:rPr>
          <w:i/>
          <w:iCs/>
        </w:rPr>
        <w:t xml:space="preserve"> fundamentalism</w:t>
      </w:r>
      <w:r w:rsidR="002538A0">
        <w:t xml:space="preserve"> </w:t>
      </w:r>
      <w:r w:rsidRPr="00C5428D">
        <w:t>(Vaggione 2008; Balchin 2011; Motta and Amat y León 2018)</w:t>
      </w:r>
      <w:r w:rsidR="002538A0">
        <w:t xml:space="preserve"> and s</w:t>
      </w:r>
      <w:r w:rsidR="00346732">
        <w:t xml:space="preserve">cholars emphasise how these </w:t>
      </w:r>
      <w:r w:rsidR="002538A0">
        <w:t>opposit</w:t>
      </w:r>
      <w:r w:rsidR="00721877">
        <w:t>i</w:t>
      </w:r>
      <w:r w:rsidR="002538A0">
        <w:t xml:space="preserve">on </w:t>
      </w:r>
      <w:r w:rsidR="00346732">
        <w:t xml:space="preserve">groups utilise the concept of ‘gender ideology’ to </w:t>
      </w:r>
      <w:r w:rsidR="002538A0">
        <w:t>oppose policies around sexuality and education</w:t>
      </w:r>
      <w:r w:rsidR="00346732">
        <w:t xml:space="preserve"> (</w:t>
      </w:r>
      <w:r w:rsidR="00346732" w:rsidRPr="00346732">
        <w:t>Serrano 2017; de Figueiredo 2018).</w:t>
      </w:r>
      <w:r w:rsidR="00502511">
        <w:t xml:space="preserve"> In sum, they become a particular social movement that, like any other, makes claims to the state </w:t>
      </w:r>
      <w:r w:rsidR="00502511" w:rsidRPr="00502511">
        <w:t>(Tilly and Tarrow 2015).</w:t>
      </w:r>
      <w:r w:rsidR="00502511">
        <w:t xml:space="preserve"> </w:t>
      </w:r>
    </w:p>
    <w:p w14:paraId="5F605F2F" w14:textId="77777777" w:rsidR="00502511" w:rsidRDefault="00502511" w:rsidP="004908D5"/>
    <w:p w14:paraId="79D7E4C0" w14:textId="167FA3A0" w:rsidR="005043B5" w:rsidRPr="002538A0" w:rsidRDefault="005A51A1" w:rsidP="004908D5">
      <w:pPr>
        <w:rPr>
          <w:rFonts w:ascii="Times New Roman" w:hAnsi="Times New Roman" w:cs="Times New Roman"/>
          <w:color w:val="555555"/>
        </w:rPr>
      </w:pPr>
      <w:r w:rsidRPr="00C5428D">
        <w:t xml:space="preserve">In Peru, feminist NGOs are collecting information and analysing the actions of </w:t>
      </w:r>
      <w:r w:rsidR="005043B5">
        <w:t>this movement</w:t>
      </w:r>
      <w:r w:rsidR="0053296A">
        <w:t>; but</w:t>
      </w:r>
      <w:r w:rsidRPr="00C5428D">
        <w:t xml:space="preserve">, there </w:t>
      </w:r>
      <w:r>
        <w:t>are</w:t>
      </w:r>
      <w:r w:rsidRPr="00C5428D">
        <w:t xml:space="preserve"> </w:t>
      </w:r>
      <w:r>
        <w:t xml:space="preserve">only </w:t>
      </w:r>
      <w:r w:rsidRPr="00C5428D">
        <w:t xml:space="preserve">few </w:t>
      </w:r>
      <w:r>
        <w:t>academic publications</w:t>
      </w:r>
      <w:r w:rsidRPr="00C5428D">
        <w:t xml:space="preserve"> on the </w:t>
      </w:r>
      <w:r>
        <w:t xml:space="preserve">fundamentalist </w:t>
      </w:r>
      <w:r w:rsidRPr="00C5428D">
        <w:t xml:space="preserve">discourse </w:t>
      </w:r>
      <w:r w:rsidR="005043B5">
        <w:t xml:space="preserve">and </w:t>
      </w:r>
      <w:r w:rsidR="00FF2D9F">
        <w:t xml:space="preserve">its </w:t>
      </w:r>
      <w:r w:rsidR="0053025C">
        <w:t xml:space="preserve">political </w:t>
      </w:r>
      <w:r w:rsidR="00FF2D9F">
        <w:t>use</w:t>
      </w:r>
      <w:r w:rsidR="005043B5">
        <w:t xml:space="preserve"> </w:t>
      </w:r>
      <w:r w:rsidRPr="00C5428D">
        <w:t>(Barrera 2017; Motta and Amat y León 2018; Meneses 2019)</w:t>
      </w:r>
      <w:r w:rsidR="0053025C">
        <w:t xml:space="preserve">. </w:t>
      </w:r>
      <w:r w:rsidR="00FF2D9F">
        <w:t>Moreover, n</w:t>
      </w:r>
      <w:r w:rsidRPr="00C5428D">
        <w:t xml:space="preserve">one </w:t>
      </w:r>
      <w:r w:rsidR="005043B5">
        <w:t>o</w:t>
      </w:r>
      <w:r w:rsidR="0053025C">
        <w:t xml:space="preserve">f these publications address </w:t>
      </w:r>
      <w:r w:rsidRPr="00C5428D">
        <w:t xml:space="preserve">the recent response of the feminist movement. </w:t>
      </w:r>
      <w:r w:rsidR="005043B5">
        <w:t>Also,</w:t>
      </w:r>
      <w:r w:rsidR="00FF2D9F">
        <w:t xml:space="preserve"> </w:t>
      </w:r>
      <w:r w:rsidR="00FF2D9F" w:rsidRPr="00A6576F">
        <w:rPr>
          <w:shd w:val="clear" w:color="auto" w:fill="FFFFFF"/>
        </w:rPr>
        <w:t xml:space="preserve">Faludi </w:t>
      </w:r>
      <w:r w:rsidR="00FF2D9F" w:rsidRPr="00A6576F">
        <w:rPr>
          <w:i/>
          <w:iCs/>
          <w:shd w:val="clear" w:color="auto" w:fill="FFFFFF"/>
        </w:rPr>
        <w:t>et al.</w:t>
      </w:r>
      <w:r w:rsidR="00FF2D9F" w:rsidRPr="00A6576F">
        <w:rPr>
          <w:shd w:val="clear" w:color="auto" w:fill="FFFFFF"/>
        </w:rPr>
        <w:t xml:space="preserve"> </w:t>
      </w:r>
      <w:r w:rsidR="00FF2D9F">
        <w:rPr>
          <w:shd w:val="clear" w:color="auto" w:fill="FFFFFF"/>
        </w:rPr>
        <w:t>(</w:t>
      </w:r>
      <w:r w:rsidR="00FF2D9F" w:rsidRPr="00A6576F">
        <w:rPr>
          <w:shd w:val="clear" w:color="auto" w:fill="FFFFFF"/>
        </w:rPr>
        <w:t>2020</w:t>
      </w:r>
      <w:r w:rsidR="00FF2D9F">
        <w:rPr>
          <w:shd w:val="clear" w:color="auto" w:fill="FFFFFF"/>
        </w:rPr>
        <w:t>)</w:t>
      </w:r>
      <w:r w:rsidR="005043B5">
        <w:t xml:space="preserve"> </w:t>
      </w:r>
      <w:r w:rsidR="00FF2D9F">
        <w:t xml:space="preserve">highlight that </w:t>
      </w:r>
      <w:r w:rsidR="005043B5">
        <w:t>i</w:t>
      </w:r>
      <w:r w:rsidR="005043B5" w:rsidRPr="002D11CC">
        <w:t>t</w:t>
      </w:r>
      <w:r w:rsidR="00FF2D9F">
        <w:t xml:space="preserve"> is</w:t>
      </w:r>
      <w:r w:rsidR="005043B5" w:rsidRPr="002D11CC">
        <w:t xml:space="preserve"> urgent to link the academic conceptual discussion to the activist’s experience of backlash,</w:t>
      </w:r>
      <w:r w:rsidR="005043B5" w:rsidRPr="00A6576F">
        <w:t xml:space="preserve"> </w:t>
      </w:r>
      <w:r w:rsidR="005043B5">
        <w:t>unfolding</w:t>
      </w:r>
      <w:r w:rsidR="005043B5" w:rsidRPr="00A6576F">
        <w:t xml:space="preserve"> a more comprehensive and understandable approach</w:t>
      </w:r>
      <w:r w:rsidR="005043B5">
        <w:t xml:space="preserve"> to shape an effective response</w:t>
      </w:r>
      <w:r w:rsidR="005043B5" w:rsidRPr="00A6576F">
        <w:rPr>
          <w:shd w:val="clear" w:color="auto" w:fill="FFFFFF"/>
        </w:rPr>
        <w:t xml:space="preserve">. </w:t>
      </w:r>
      <w:r w:rsidR="005043B5">
        <w:rPr>
          <w:shd w:val="clear" w:color="auto" w:fill="FFFFFF"/>
        </w:rPr>
        <w:t xml:space="preserve">Some </w:t>
      </w:r>
      <w:r w:rsidR="00F66C3C">
        <w:t>scholars</w:t>
      </w:r>
      <w:r w:rsidR="005043B5" w:rsidRPr="00C5428D">
        <w:t xml:space="preserve"> have used the </w:t>
      </w:r>
      <w:r w:rsidR="005043B5" w:rsidRPr="00F50C2E">
        <w:t>theory on social movements and countermovements</w:t>
      </w:r>
      <w:r w:rsidR="005043B5" w:rsidRPr="00C5428D">
        <w:t xml:space="preserve"> </w:t>
      </w:r>
      <w:r w:rsidR="005043B5">
        <w:rPr>
          <w:shd w:val="clear" w:color="auto" w:fill="FFFFFF"/>
        </w:rPr>
        <w:t xml:space="preserve">to explain the dynamics between feminism and opposition actors </w:t>
      </w:r>
      <w:r w:rsidR="005043B5" w:rsidRPr="00C5428D">
        <w:t>(Chappell 2006; Corredor 201</w:t>
      </w:r>
      <w:r w:rsidR="005043B5" w:rsidRPr="00493B99">
        <w:t>9)</w:t>
      </w:r>
      <w:r w:rsidR="005043B5">
        <w:t xml:space="preserve"> but in general, the social movement theory has not focused on the experience of the feminist movement and its opponents </w:t>
      </w:r>
      <w:r w:rsidR="005043B5" w:rsidRPr="00C5428D">
        <w:t>(Mansbridge and Shames, 2008; Balchin, 2011).</w:t>
      </w:r>
    </w:p>
    <w:p w14:paraId="6A6F94DB" w14:textId="77777777" w:rsidR="005043B5" w:rsidRDefault="005043B5" w:rsidP="004908D5"/>
    <w:p w14:paraId="2126F68C" w14:textId="67C1823B" w:rsidR="00AE45E9" w:rsidRDefault="005A51A1" w:rsidP="004908D5">
      <w:pPr>
        <w:autoSpaceDE w:val="0"/>
        <w:autoSpaceDN w:val="0"/>
        <w:adjustRightInd w:val="0"/>
      </w:pPr>
      <w:r w:rsidRPr="00C5428D">
        <w:t xml:space="preserve">The aim of this </w:t>
      </w:r>
      <w:r>
        <w:t>study</w:t>
      </w:r>
      <w:r w:rsidRPr="00C5428D">
        <w:t xml:space="preserve"> is to fill th</w:t>
      </w:r>
      <w:r w:rsidR="00F66C3C">
        <w:t>ese</w:t>
      </w:r>
      <w:r w:rsidRPr="00C5428D">
        <w:t xml:space="preserve"> gap</w:t>
      </w:r>
      <w:r w:rsidR="00F66C3C">
        <w:t>s</w:t>
      </w:r>
      <w:r w:rsidR="00442815">
        <w:t xml:space="preserve"> in the literature</w:t>
      </w:r>
      <w:r w:rsidRPr="00C5428D">
        <w:t xml:space="preserve">, </w:t>
      </w:r>
      <w:r w:rsidR="00F66C3C">
        <w:t xml:space="preserve">both theoretical and empirically, </w:t>
      </w:r>
      <w:r>
        <w:t>analysing</w:t>
      </w:r>
      <w:r w:rsidRPr="00C5428D">
        <w:t xml:space="preserve"> </w:t>
      </w:r>
      <w:r w:rsidR="00442815">
        <w:t>the nature of the gender backlash in Peru</w:t>
      </w:r>
      <w:r w:rsidR="00B704D1">
        <w:t>, the connection of opposing actors at the national and international level,</w:t>
      </w:r>
      <w:r w:rsidR="00442815">
        <w:t xml:space="preserve"> and </w:t>
      </w:r>
      <w:r w:rsidR="0053296A">
        <w:t xml:space="preserve">how </w:t>
      </w:r>
      <w:r w:rsidR="00F66C3C">
        <w:t>this backlash</w:t>
      </w:r>
      <w:r w:rsidR="0053296A">
        <w:t xml:space="preserve"> has impacted on </w:t>
      </w:r>
      <w:r w:rsidR="00F66C3C">
        <w:t xml:space="preserve">the </w:t>
      </w:r>
      <w:r w:rsidR="0053296A">
        <w:t>Peruvian feminist movement</w:t>
      </w:r>
      <w:r>
        <w:t xml:space="preserve">. </w:t>
      </w:r>
      <w:r w:rsidR="00442815">
        <w:t xml:space="preserve">The analysis will be guided by the following research question: </w:t>
      </w:r>
      <w:r w:rsidR="00AE45E9" w:rsidRPr="00F66C3C">
        <w:rPr>
          <w:b/>
          <w:bCs/>
          <w:i/>
          <w:iCs/>
        </w:rPr>
        <w:t xml:space="preserve">How the </w:t>
      </w:r>
      <w:r w:rsidR="00AE45E9" w:rsidRPr="00F66C3C">
        <w:rPr>
          <w:b/>
          <w:bCs/>
          <w:i/>
          <w:iCs/>
        </w:rPr>
        <w:lastRenderedPageBreak/>
        <w:t>feminist movement has resisted and responded the gender backlash in Peru?</w:t>
      </w:r>
      <w:r w:rsidR="00AE45E9" w:rsidRPr="00AE45E9">
        <w:rPr>
          <w:i/>
          <w:iCs/>
        </w:rPr>
        <w:t xml:space="preserve"> </w:t>
      </w:r>
      <w:r w:rsidR="00AE45E9">
        <w:t xml:space="preserve">To answer this question, I will explore the following sub-questions: </w:t>
      </w:r>
    </w:p>
    <w:p w14:paraId="77B527A4" w14:textId="77777777" w:rsidR="00062C7B" w:rsidRDefault="00062C7B" w:rsidP="004908D5">
      <w:pPr>
        <w:autoSpaceDE w:val="0"/>
        <w:autoSpaceDN w:val="0"/>
        <w:adjustRightInd w:val="0"/>
      </w:pPr>
    </w:p>
    <w:p w14:paraId="42545070" w14:textId="77777777" w:rsidR="00AE45E9" w:rsidRPr="00AE45E9" w:rsidRDefault="00AE45E9" w:rsidP="004908D5">
      <w:pPr>
        <w:pStyle w:val="ListParagraph"/>
        <w:numPr>
          <w:ilvl w:val="0"/>
          <w:numId w:val="10"/>
        </w:numPr>
        <w:autoSpaceDE w:val="0"/>
        <w:autoSpaceDN w:val="0"/>
        <w:adjustRightInd w:val="0"/>
        <w:rPr>
          <w:i/>
          <w:iCs/>
        </w:rPr>
      </w:pPr>
      <w:r>
        <w:t xml:space="preserve">What is the nature of the gender backlash in Peru? </w:t>
      </w:r>
    </w:p>
    <w:p w14:paraId="5C7BEA80" w14:textId="3F0D75B7" w:rsidR="00AE45E9" w:rsidRPr="00F66C3C" w:rsidRDefault="00AE45E9" w:rsidP="004908D5">
      <w:pPr>
        <w:pStyle w:val="ListParagraph"/>
        <w:numPr>
          <w:ilvl w:val="0"/>
          <w:numId w:val="10"/>
        </w:numPr>
        <w:autoSpaceDE w:val="0"/>
        <w:autoSpaceDN w:val="0"/>
        <w:adjustRightInd w:val="0"/>
        <w:rPr>
          <w:i/>
          <w:iCs/>
        </w:rPr>
      </w:pPr>
      <w:r>
        <w:t xml:space="preserve">How </w:t>
      </w:r>
      <w:r w:rsidR="00F66C3C">
        <w:t>are the actors in contention</w:t>
      </w:r>
      <w:r>
        <w:t xml:space="preserve"> connected at the national and the international level? </w:t>
      </w:r>
    </w:p>
    <w:p w14:paraId="0269C2FA" w14:textId="752CA972" w:rsidR="00F66C3C" w:rsidRPr="00AE45E9" w:rsidRDefault="00F66C3C" w:rsidP="004908D5">
      <w:pPr>
        <w:pStyle w:val="ListParagraph"/>
        <w:numPr>
          <w:ilvl w:val="0"/>
          <w:numId w:val="10"/>
        </w:numPr>
        <w:autoSpaceDE w:val="0"/>
        <w:autoSpaceDN w:val="0"/>
        <w:adjustRightInd w:val="0"/>
        <w:rPr>
          <w:i/>
          <w:iCs/>
        </w:rPr>
      </w:pPr>
      <w:r>
        <w:t>What are the dynamics between the feminist movement and the opposition actors?</w:t>
      </w:r>
    </w:p>
    <w:p w14:paraId="3276847D" w14:textId="77777777" w:rsidR="00062C7B" w:rsidRPr="00062C7B" w:rsidRDefault="00062C7B" w:rsidP="004908D5"/>
    <w:p w14:paraId="798C7733" w14:textId="13ABFD5C" w:rsidR="0013021D" w:rsidRPr="00AE45E9" w:rsidRDefault="0013021D" w:rsidP="004908D5">
      <w:pPr>
        <w:pStyle w:val="ListParagraph"/>
        <w:numPr>
          <w:ilvl w:val="0"/>
          <w:numId w:val="2"/>
        </w:numPr>
        <w:rPr>
          <w:b/>
          <w:bCs/>
        </w:rPr>
      </w:pPr>
      <w:r w:rsidRPr="0013021D">
        <w:rPr>
          <w:b/>
          <w:bCs/>
        </w:rPr>
        <w:t>Study justification</w:t>
      </w:r>
      <w:r w:rsidR="00631812">
        <w:rPr>
          <w:b/>
          <w:bCs/>
        </w:rPr>
        <w:t xml:space="preserve"> </w:t>
      </w:r>
    </w:p>
    <w:p w14:paraId="3A9E1A83" w14:textId="487F0CF2" w:rsidR="0013021D" w:rsidRDefault="0013021D" w:rsidP="004908D5"/>
    <w:p w14:paraId="397AF4B4" w14:textId="3101D072" w:rsidR="00FF0313" w:rsidRDefault="00F66C3C" w:rsidP="004908D5">
      <w:pPr>
        <w:autoSpaceDE w:val="0"/>
        <w:autoSpaceDN w:val="0"/>
        <w:adjustRightInd w:val="0"/>
      </w:pPr>
      <w:r>
        <w:t xml:space="preserve">The </w:t>
      </w:r>
      <w:r w:rsidRPr="00C5428D">
        <w:t>feminist movement</w:t>
      </w:r>
      <w:r>
        <w:rPr>
          <w:iCs/>
        </w:rPr>
        <w:t xml:space="preserve"> is</w:t>
      </w:r>
      <w:r w:rsidRPr="00C5428D">
        <w:rPr>
          <w:iCs/>
        </w:rPr>
        <w:t xml:space="preserve"> a fundamental actor to achieve </w:t>
      </w:r>
      <w:r w:rsidRPr="00C5428D">
        <w:t xml:space="preserve">positive policy changes for women’s </w:t>
      </w:r>
      <w:r w:rsidRPr="00C826F7">
        <w:t>rights</w:t>
      </w:r>
      <w:r>
        <w:t xml:space="preserve"> (</w:t>
      </w:r>
      <w:r w:rsidRPr="00C826F7">
        <w:t>Htun and Weldon 2010)</w:t>
      </w:r>
      <w:r>
        <w:t xml:space="preserve">. </w:t>
      </w:r>
      <w:r w:rsidRPr="007213C3">
        <w:t xml:space="preserve">The </w:t>
      </w:r>
      <w:r w:rsidR="00FF0313">
        <w:t>fundamentalist</w:t>
      </w:r>
      <w:r w:rsidRPr="007213C3">
        <w:t xml:space="preserve"> </w:t>
      </w:r>
      <w:r w:rsidR="00FF0313">
        <w:t xml:space="preserve">agenda </w:t>
      </w:r>
      <w:r w:rsidRPr="007213C3">
        <w:t>represent</w:t>
      </w:r>
      <w:r w:rsidR="00FF0313">
        <w:t>s</w:t>
      </w:r>
      <w:r w:rsidRPr="007213C3">
        <w:t xml:space="preserve"> a challenge for </w:t>
      </w:r>
      <w:r w:rsidR="00FF0313">
        <w:t>gender equality gains in the region</w:t>
      </w:r>
      <w:r w:rsidRPr="007213C3">
        <w:t>, but also for democracy</w:t>
      </w:r>
      <w:r w:rsidR="00FF0313">
        <w:t>,</w:t>
      </w:r>
      <w:r w:rsidRPr="007213C3">
        <w:t xml:space="preserve"> as both agendas are intimately linked (Balchin 2011; Alonso and Lombardo 2018). </w:t>
      </w:r>
      <w:r w:rsidR="00FF0313" w:rsidRPr="00A6576F">
        <w:t xml:space="preserve">The understanding of what constitutes backlash, its drivers and manifestations, is </w:t>
      </w:r>
      <w:r w:rsidR="00FF0313">
        <w:t>crucial</w:t>
      </w:r>
      <w:r w:rsidR="00FF0313" w:rsidRPr="00A6576F">
        <w:t xml:space="preserve"> not just as a theoretical exercise, but as a </w:t>
      </w:r>
      <w:r w:rsidR="00FF0313">
        <w:t>fundamental</w:t>
      </w:r>
      <w:r w:rsidR="00FF0313" w:rsidRPr="00A6576F">
        <w:t xml:space="preserve"> insight to shape the feminist response to the opposition dynamics (Sen </w:t>
      </w:r>
      <w:r w:rsidR="00FF0313" w:rsidRPr="00A6576F">
        <w:rPr>
          <w:i/>
          <w:iCs/>
        </w:rPr>
        <w:t>et al.</w:t>
      </w:r>
      <w:r w:rsidR="00FF0313" w:rsidRPr="00A6576F">
        <w:t xml:space="preserve"> 2018; Goetz 2019; Piscopo and Walsh 2020). </w:t>
      </w:r>
      <w:r w:rsidR="00FF0313">
        <w:t>D</w:t>
      </w:r>
      <w:r w:rsidR="00FF0313" w:rsidRPr="00A6576F">
        <w:t xml:space="preserve">epending on the actors and their configurations, </w:t>
      </w:r>
      <w:r w:rsidR="00FF0313">
        <w:t>these</w:t>
      </w:r>
      <w:r w:rsidR="00FF0313" w:rsidRPr="00A6576F">
        <w:t xml:space="preserve"> can go from a virulent anti-feminist opposition to a more </w:t>
      </w:r>
      <w:r w:rsidR="007307E3">
        <w:t>subtle</w:t>
      </w:r>
      <w:r w:rsidR="00FF0313" w:rsidRPr="00A6576F">
        <w:t xml:space="preserve"> discourse aim</w:t>
      </w:r>
      <w:r w:rsidR="00FF2D9F">
        <w:t>ing</w:t>
      </w:r>
      <w:r w:rsidR="00FF0313" w:rsidRPr="00A6576F">
        <w:t xml:space="preserve"> to maintain the status quo (Mansbridge and Shames 2008; Jordan 2016; Piscopo 2017; Sen </w:t>
      </w:r>
      <w:r w:rsidR="00FF0313" w:rsidRPr="00A6576F">
        <w:rPr>
          <w:i/>
          <w:iCs/>
        </w:rPr>
        <w:t>et al.</w:t>
      </w:r>
      <w:r w:rsidR="00FF0313" w:rsidRPr="00A6576F">
        <w:t xml:space="preserve"> 2017; Piscopo and Walsh 2020).</w:t>
      </w:r>
      <w:r w:rsidR="00FF0313" w:rsidRPr="00FF0313">
        <w:t xml:space="preserve"> </w:t>
      </w:r>
      <w:r w:rsidR="00FF0313">
        <w:t>As</w:t>
      </w:r>
      <w:r w:rsidR="00FF0313" w:rsidRPr="00A6576F">
        <w:t xml:space="preserve"> Sen </w:t>
      </w:r>
      <w:r w:rsidR="00FF0313" w:rsidRPr="00A6576F">
        <w:rPr>
          <w:i/>
          <w:iCs/>
        </w:rPr>
        <w:t>et al</w:t>
      </w:r>
      <w:r w:rsidR="00FF0313" w:rsidRPr="00A6576F">
        <w:t>. (2017) highlight: “Different ideological positions and orientations toward gender norms may require different types of feminist resistance” (2017: 5).</w:t>
      </w:r>
    </w:p>
    <w:p w14:paraId="153CCCF0" w14:textId="3D0A6553" w:rsidR="00FF0313" w:rsidRDefault="00FF0313" w:rsidP="004908D5"/>
    <w:p w14:paraId="6C31977E" w14:textId="3A22AB20" w:rsidR="00AE45E9" w:rsidRPr="007213C3" w:rsidRDefault="00F66C3C" w:rsidP="004908D5">
      <w:r w:rsidRPr="007213C3">
        <w:t xml:space="preserve">The Peruvian experience may act as an inspiration for </w:t>
      </w:r>
      <w:r w:rsidR="007307E3">
        <w:t xml:space="preserve">the </w:t>
      </w:r>
      <w:r w:rsidRPr="007213C3">
        <w:t xml:space="preserve">feminist activism in </w:t>
      </w:r>
      <w:r w:rsidR="00FF0313">
        <w:t>Latin America</w:t>
      </w:r>
      <w:r w:rsidRPr="007213C3">
        <w:t xml:space="preserve">. </w:t>
      </w:r>
      <w:r w:rsidR="00FF0313">
        <w:t xml:space="preserve">The </w:t>
      </w:r>
      <w:r w:rsidR="007307E3">
        <w:t xml:space="preserve">aim of the study is to disseminate the </w:t>
      </w:r>
      <w:r w:rsidR="00FF0313">
        <w:t>findings not only in academic circles but</w:t>
      </w:r>
      <w:r w:rsidR="007307E3">
        <w:t xml:space="preserve"> also among the feminist</w:t>
      </w:r>
      <w:r w:rsidR="00FF0313">
        <w:t xml:space="preserve"> movement in Latin America. </w:t>
      </w:r>
      <w:r w:rsidR="007307E3">
        <w:t>The research</w:t>
      </w:r>
      <w:r>
        <w:t xml:space="preserve"> is proposed as a reflective </w:t>
      </w:r>
      <w:r w:rsidR="007307E3">
        <w:t>process</w:t>
      </w:r>
      <w:r>
        <w:t xml:space="preserve"> for the Peruvian feminist activis</w:t>
      </w:r>
      <w:r w:rsidR="007307E3">
        <w:t>ts and</w:t>
      </w:r>
      <w:r>
        <w:t xml:space="preserve"> </w:t>
      </w:r>
      <w:r w:rsidR="007307E3">
        <w:t xml:space="preserve">the proposed methods contemplate their active participation </w:t>
      </w:r>
      <w:r>
        <w:t xml:space="preserve">in the data collection </w:t>
      </w:r>
      <w:r w:rsidR="00FF0313">
        <w:t>process</w:t>
      </w:r>
      <w:r w:rsidR="007307E3">
        <w:t xml:space="preserve">. This represents </w:t>
      </w:r>
      <w:r>
        <w:t xml:space="preserve">an opportunity </w:t>
      </w:r>
      <w:r w:rsidR="00FF2D9F">
        <w:t xml:space="preserve">for them </w:t>
      </w:r>
      <w:r>
        <w:t xml:space="preserve">to </w:t>
      </w:r>
      <w:r w:rsidR="007307E3">
        <w:t xml:space="preserve">analyse and </w:t>
      </w:r>
      <w:r>
        <w:t xml:space="preserve">understand </w:t>
      </w:r>
      <w:r w:rsidR="007307E3">
        <w:t xml:space="preserve">the nature of the gender backlash in Peru and </w:t>
      </w:r>
      <w:r>
        <w:t xml:space="preserve">how </w:t>
      </w:r>
      <w:r w:rsidR="007307E3">
        <w:t>the movement</w:t>
      </w:r>
      <w:r>
        <w:t xml:space="preserve"> </w:t>
      </w:r>
      <w:r w:rsidR="007307E3">
        <w:t xml:space="preserve">is resisting and </w:t>
      </w:r>
      <w:r>
        <w:t>respon</w:t>
      </w:r>
      <w:r w:rsidR="007307E3">
        <w:t>ding</w:t>
      </w:r>
      <w:r>
        <w:t xml:space="preserve"> </w:t>
      </w:r>
      <w:r w:rsidR="007307E3">
        <w:t>the action of the opposition actors</w:t>
      </w:r>
      <w:r>
        <w:t xml:space="preserve">. </w:t>
      </w:r>
    </w:p>
    <w:p w14:paraId="4B5A1DCF" w14:textId="77777777" w:rsidR="00631812" w:rsidRDefault="00631812" w:rsidP="004908D5"/>
    <w:p w14:paraId="5FE68DB6" w14:textId="7CC39A34" w:rsidR="0013021D" w:rsidRPr="007307E3" w:rsidRDefault="0013021D" w:rsidP="004908D5">
      <w:pPr>
        <w:pStyle w:val="ListParagraph"/>
        <w:numPr>
          <w:ilvl w:val="0"/>
          <w:numId w:val="2"/>
        </w:numPr>
        <w:rPr>
          <w:b/>
          <w:bCs/>
        </w:rPr>
      </w:pPr>
      <w:r w:rsidRPr="0013021D">
        <w:rPr>
          <w:b/>
          <w:bCs/>
        </w:rPr>
        <w:t>Theoretical framework</w:t>
      </w:r>
    </w:p>
    <w:p w14:paraId="13F6C33A" w14:textId="77777777" w:rsidR="00502511" w:rsidRDefault="00502511" w:rsidP="004908D5">
      <w:pPr>
        <w:autoSpaceDE w:val="0"/>
        <w:autoSpaceDN w:val="0"/>
        <w:adjustRightInd w:val="0"/>
      </w:pPr>
    </w:p>
    <w:p w14:paraId="62C5290A" w14:textId="77777777" w:rsidR="00584EFF" w:rsidRDefault="00062C7B" w:rsidP="004908D5">
      <w:pPr>
        <w:autoSpaceDE w:val="0"/>
        <w:autoSpaceDN w:val="0"/>
        <w:adjustRightInd w:val="0"/>
      </w:pPr>
      <w:r>
        <w:t xml:space="preserve">To address my research question, I will </w:t>
      </w:r>
      <w:r w:rsidR="00346732">
        <w:t xml:space="preserve">draw on the social movement theory and the contentious politics approach elaborated by </w:t>
      </w:r>
      <w:r w:rsidR="00FF2D9F" w:rsidRPr="00FF2D9F">
        <w:t>McAdam, Tarrow and Tilly (2001)</w:t>
      </w:r>
      <w:r w:rsidR="00E66A61">
        <w:t xml:space="preserve"> as well as</w:t>
      </w:r>
      <w:r w:rsidR="00E66A61" w:rsidRPr="00E66A61">
        <w:t xml:space="preserve"> the concept of </w:t>
      </w:r>
      <w:r w:rsidR="00E66A61">
        <w:t>‘</w:t>
      </w:r>
      <w:r w:rsidR="00E66A61" w:rsidRPr="00E66A61">
        <w:t>movements and countermovements</w:t>
      </w:r>
      <w:r w:rsidR="00584EFF">
        <w:t xml:space="preserve"> dynamics</w:t>
      </w:r>
      <w:r w:rsidR="00E66A61">
        <w:t>’</w:t>
      </w:r>
      <w:r w:rsidR="00E66A61" w:rsidRPr="00E66A61">
        <w:t xml:space="preserve"> </w:t>
      </w:r>
      <w:r w:rsidR="00E66A61">
        <w:t>defined by</w:t>
      </w:r>
      <w:r w:rsidR="00E66A61" w:rsidRPr="00E66A61">
        <w:t xml:space="preserve"> Meyer and Staggenborg (1996).</w:t>
      </w:r>
      <w:r w:rsidR="00346732">
        <w:t xml:space="preserve"> </w:t>
      </w:r>
      <w:r w:rsidR="00FF2D9F" w:rsidRPr="00FF2D9F">
        <w:t>“</w:t>
      </w:r>
      <w:r w:rsidR="00FF2D9F" w:rsidRPr="00E66A61">
        <w:rPr>
          <w:i/>
          <w:iCs/>
        </w:rPr>
        <w:t>Contentious</w:t>
      </w:r>
      <w:r w:rsidR="00502511" w:rsidRPr="00E66A61">
        <w:rPr>
          <w:i/>
          <w:iCs/>
        </w:rPr>
        <w:t xml:space="preserve"> </w:t>
      </w:r>
      <w:r w:rsidR="00FF2D9F" w:rsidRPr="00E66A61">
        <w:rPr>
          <w:i/>
          <w:iCs/>
        </w:rPr>
        <w:t>politics</w:t>
      </w:r>
      <w:r w:rsidR="00FF2D9F" w:rsidRPr="00FF2D9F">
        <w:t xml:space="preserve"> involves interactions in which actors make claims bearing on other actors’ interests, leading to coordinated efforts on behalf of shared interests or programs, in which governments are involved as targets, initiators of claims, or third parties” (Tilly and Tarrow 2015: 7).</w:t>
      </w:r>
      <w:r w:rsidR="00E66A61">
        <w:t xml:space="preserve"> </w:t>
      </w:r>
    </w:p>
    <w:p w14:paraId="48B39F0B" w14:textId="77777777" w:rsidR="00584EFF" w:rsidRDefault="00584EFF" w:rsidP="004908D5">
      <w:pPr>
        <w:autoSpaceDE w:val="0"/>
        <w:autoSpaceDN w:val="0"/>
        <w:adjustRightInd w:val="0"/>
      </w:pPr>
    </w:p>
    <w:p w14:paraId="266A4CC8" w14:textId="4EA4F8D5" w:rsidR="00160E47" w:rsidRPr="00584EFF" w:rsidRDefault="00584EFF" w:rsidP="004908D5">
      <w:pPr>
        <w:autoSpaceDE w:val="0"/>
        <w:autoSpaceDN w:val="0"/>
        <w:adjustRightInd w:val="0"/>
      </w:pPr>
      <w:r>
        <w:t>M</w:t>
      </w:r>
      <w:r w:rsidR="00E66A61">
        <w:t xml:space="preserve">y study will unpack the contentious politics of opposing movements and will </w:t>
      </w:r>
      <w:r>
        <w:t>analyse</w:t>
      </w:r>
      <w:r w:rsidR="00E66A61">
        <w:t xml:space="preserve"> the </w:t>
      </w:r>
      <w:r>
        <w:t xml:space="preserve">emergence of the </w:t>
      </w:r>
      <w:r w:rsidR="00E66A61">
        <w:t xml:space="preserve">fundamentalist movement in Latin America as a ‘countermovement,’ one that </w:t>
      </w:r>
      <w:r>
        <w:t xml:space="preserve">emerges due to the success of the original movement </w:t>
      </w:r>
      <w:r w:rsidRPr="00584EFF">
        <w:t>and “makes contrary claims simultaneously” (Meyer and</w:t>
      </w:r>
      <w:r>
        <w:t xml:space="preserve"> </w:t>
      </w:r>
      <w:r w:rsidRPr="00584EFF">
        <w:t>Staggenborg 1996: 1631)</w:t>
      </w:r>
      <w:r>
        <w:t xml:space="preserve">. </w:t>
      </w:r>
      <w:r w:rsidRPr="00584EFF">
        <w:t xml:space="preserve">Movements react to each other and </w:t>
      </w:r>
      <w:r w:rsidRPr="00584EFF">
        <w:lastRenderedPageBreak/>
        <w:t>could even generate a counter</w:t>
      </w:r>
      <w:r>
        <w:t>-</w:t>
      </w:r>
      <w:r w:rsidRPr="00584EFF">
        <w:t>countermovement, different from the original one (Zald and Ussem 1987: 249</w:t>
      </w:r>
      <w:r>
        <w:t>,</w:t>
      </w:r>
      <w:r w:rsidRPr="00584EFF">
        <w:t xml:space="preserve"> in Meyer and Staggenborg 1996</w:t>
      </w:r>
      <w:r>
        <w:t>: 1632</w:t>
      </w:r>
      <w:r w:rsidRPr="00584EFF">
        <w:t xml:space="preserve">). </w:t>
      </w:r>
    </w:p>
    <w:p w14:paraId="08A8EB08" w14:textId="77777777" w:rsidR="00271E4B" w:rsidRDefault="00271E4B" w:rsidP="004908D5">
      <w:pPr>
        <w:autoSpaceDE w:val="0"/>
        <w:autoSpaceDN w:val="0"/>
        <w:adjustRightInd w:val="0"/>
      </w:pPr>
    </w:p>
    <w:p w14:paraId="400D3532" w14:textId="0B8EA676" w:rsidR="00E66A61" w:rsidRPr="00E66A61" w:rsidRDefault="00502511" w:rsidP="004908D5">
      <w:pPr>
        <w:autoSpaceDE w:val="0"/>
        <w:autoSpaceDN w:val="0"/>
        <w:adjustRightInd w:val="0"/>
      </w:pPr>
      <w:r>
        <w:t xml:space="preserve">According to </w:t>
      </w:r>
      <w:r w:rsidR="00584EFF">
        <w:t>the contentious politics</w:t>
      </w:r>
      <w:r>
        <w:t xml:space="preserve"> approach, a particular </w:t>
      </w:r>
      <w:r w:rsidRPr="00502511">
        <w:rPr>
          <w:i/>
          <w:iCs/>
        </w:rPr>
        <w:t>episode of contention</w:t>
      </w:r>
      <w:r>
        <w:t xml:space="preserve"> may be explained looking at two </w:t>
      </w:r>
      <w:r w:rsidRPr="002538A0">
        <w:rPr>
          <w:i/>
          <w:iCs/>
        </w:rPr>
        <w:t>processes</w:t>
      </w:r>
      <w:r>
        <w:t>: (a) the political identity formation, and (b) the mobilisation itself</w:t>
      </w:r>
      <w:r w:rsidR="002538A0">
        <w:t xml:space="preserve"> </w:t>
      </w:r>
      <w:r w:rsidRPr="00502511">
        <w:t>(McAdam, Tarrow and Tilly 2001).</w:t>
      </w:r>
      <w:r w:rsidR="002538A0">
        <w:t xml:space="preserve"> </w:t>
      </w:r>
      <w:r w:rsidR="007777AF" w:rsidRPr="002538A0">
        <w:t xml:space="preserve">Each process contains </w:t>
      </w:r>
      <w:r w:rsidR="007777AF" w:rsidRPr="002538A0">
        <w:rPr>
          <w:i/>
          <w:iCs/>
        </w:rPr>
        <w:t>causal mechanisms</w:t>
      </w:r>
      <w:r w:rsidR="007777AF" w:rsidRPr="002538A0">
        <w:t xml:space="preserve"> that I </w:t>
      </w:r>
      <w:r w:rsidR="002538A0">
        <w:t xml:space="preserve">will </w:t>
      </w:r>
      <w:r w:rsidR="007777AF" w:rsidRPr="002538A0">
        <w:t xml:space="preserve">use as </w:t>
      </w:r>
      <w:r w:rsidR="002538A0">
        <w:t xml:space="preserve">main </w:t>
      </w:r>
      <w:r w:rsidR="007777AF" w:rsidRPr="002538A0">
        <w:t>analytical categories: (a) the political opportunity structure</w:t>
      </w:r>
      <w:r w:rsidR="002538A0">
        <w:t>s</w:t>
      </w:r>
      <w:r w:rsidR="007777AF" w:rsidRPr="002538A0">
        <w:t xml:space="preserve">, (b) </w:t>
      </w:r>
      <w:r w:rsidR="002538A0">
        <w:t xml:space="preserve">the </w:t>
      </w:r>
      <w:r w:rsidR="007777AF" w:rsidRPr="002538A0">
        <w:t xml:space="preserve">resource mobilisation, (c) </w:t>
      </w:r>
      <w:r w:rsidR="002538A0">
        <w:t xml:space="preserve">the </w:t>
      </w:r>
      <w:r w:rsidR="007777AF" w:rsidRPr="002538A0">
        <w:t xml:space="preserve">framing of demands, and (d) </w:t>
      </w:r>
      <w:r w:rsidR="002538A0">
        <w:t xml:space="preserve">the </w:t>
      </w:r>
      <w:r w:rsidR="007777AF" w:rsidRPr="002538A0">
        <w:rPr>
          <w:i/>
          <w:iCs/>
        </w:rPr>
        <w:t>repertoires</w:t>
      </w:r>
      <w:r w:rsidR="007777AF" w:rsidRPr="002538A0">
        <w:t xml:space="preserve"> of contention.</w:t>
      </w:r>
      <w:r w:rsidR="00271E4B">
        <w:t xml:space="preserve"> T</w:t>
      </w:r>
      <w:r w:rsidR="00271E4B" w:rsidRPr="00271E4B">
        <w:t xml:space="preserve">he </w:t>
      </w:r>
      <w:r w:rsidR="00271E4B" w:rsidRPr="00271E4B">
        <w:rPr>
          <w:i/>
          <w:iCs/>
        </w:rPr>
        <w:t>political opportunity structures</w:t>
      </w:r>
      <w:r w:rsidR="00271E4B" w:rsidRPr="00271E4B">
        <w:t xml:space="preserve"> are the “aspects of the regime that offer</w:t>
      </w:r>
      <w:r w:rsidR="00271E4B">
        <w:t xml:space="preserve"> </w:t>
      </w:r>
      <w:r w:rsidR="00271E4B" w:rsidRPr="00271E4B">
        <w:t>challengers both opening to advance their claims and threats and constraints that caution them</w:t>
      </w:r>
      <w:r w:rsidR="00271E4B">
        <w:t xml:space="preserve"> </w:t>
      </w:r>
      <w:r w:rsidR="00271E4B" w:rsidRPr="00271E4B">
        <w:t>against making these claims” (Goldstone and Tilly 2001, in Tilly and Tarrow 2015: 49).</w:t>
      </w:r>
      <w:r w:rsidR="00271E4B">
        <w:t xml:space="preserve"> </w:t>
      </w:r>
      <w:r w:rsidR="00271E4B" w:rsidRPr="00271E4B">
        <w:t>The political context offers opportunities or threats to social movements when they are visible and perceived by activists as such.</w:t>
      </w:r>
      <w:r w:rsidR="00DA089C">
        <w:t xml:space="preserve"> The </w:t>
      </w:r>
      <w:r w:rsidR="00DA089C" w:rsidRPr="00DA089C">
        <w:rPr>
          <w:i/>
          <w:iCs/>
        </w:rPr>
        <w:t>resource mobilisation</w:t>
      </w:r>
      <w:r w:rsidR="00DA089C">
        <w:t xml:space="preserve"> is referred to how i</w:t>
      </w:r>
      <w:r w:rsidR="00DA089C" w:rsidRPr="00DA089C">
        <w:t>dentities and existing organisational resources are transformed to serve the objectives of the movements. They are the social movement bases: social background, organisational resources, and cultural frameworks (</w:t>
      </w:r>
      <w:r w:rsidR="00DA089C" w:rsidRPr="00271E4B">
        <w:t>Tilly and Tarrow 2015</w:t>
      </w:r>
      <w:r w:rsidR="00DA089C" w:rsidRPr="00DA089C">
        <w:t>).</w:t>
      </w:r>
      <w:r w:rsidR="00DA089C">
        <w:t xml:space="preserve"> </w:t>
      </w:r>
      <w:r w:rsidR="00DA089C" w:rsidRPr="00DA089C">
        <w:t xml:space="preserve">The </w:t>
      </w:r>
      <w:r w:rsidR="00DA089C" w:rsidRPr="00DA089C">
        <w:rPr>
          <w:i/>
          <w:iCs/>
        </w:rPr>
        <w:t>framing</w:t>
      </w:r>
      <w:r w:rsidR="00DA089C" w:rsidRPr="00DA089C">
        <w:t xml:space="preserve"> of the dispute refers to the narratives about the contentious issue and how movements are able to place them in the collective to gain support. It also relat</w:t>
      </w:r>
      <w:r w:rsidR="00E66A61">
        <w:t>e</w:t>
      </w:r>
      <w:r w:rsidR="00DA089C">
        <w:t>s</w:t>
      </w:r>
      <w:r w:rsidR="00DA089C" w:rsidRPr="00DA089C">
        <w:t xml:space="preserve"> to the identity formation and grievances of their bases</w:t>
      </w:r>
      <w:r w:rsidR="00DA089C">
        <w:t xml:space="preserve"> (</w:t>
      </w:r>
      <w:r w:rsidR="00DA089C" w:rsidRPr="00DA089C">
        <w:t>McAdam, Tarrow and Tilly, 2001)</w:t>
      </w:r>
      <w:r w:rsidR="00DA089C">
        <w:t xml:space="preserve">. Lastly, the </w:t>
      </w:r>
      <w:r w:rsidR="00DA089C" w:rsidRPr="00E66A61">
        <w:rPr>
          <w:i/>
          <w:iCs/>
        </w:rPr>
        <w:t>repertoires</w:t>
      </w:r>
      <w:r w:rsidR="00DA089C" w:rsidRPr="00E66A61">
        <w:t xml:space="preserve"> of contention</w:t>
      </w:r>
      <w:r w:rsidR="00DA089C">
        <w:t xml:space="preserve"> refer to the </w:t>
      </w:r>
      <w:r w:rsidR="00E66A61">
        <w:t>i</w:t>
      </w:r>
      <w:r w:rsidR="00DA089C" w:rsidRPr="00E66A61">
        <w:t>nnovative forms of collective action</w:t>
      </w:r>
      <w:r w:rsidR="00E66A61" w:rsidRPr="00E66A61">
        <w:t xml:space="preserve">: </w:t>
      </w:r>
      <w:r w:rsidR="00DA089C" w:rsidRPr="00E66A61">
        <w:t>demonstrations,</w:t>
      </w:r>
      <w:r w:rsidR="00E66A61" w:rsidRPr="00E66A61">
        <w:t xml:space="preserve"> </w:t>
      </w:r>
      <w:r w:rsidR="00DA089C" w:rsidRPr="00E66A61">
        <w:t xml:space="preserve">public statements, creation of associations, and lobbying (Tilly and Tarrow, 2015). </w:t>
      </w:r>
    </w:p>
    <w:p w14:paraId="0B489551" w14:textId="77777777" w:rsidR="00E66A61" w:rsidRPr="00584EFF" w:rsidRDefault="00E66A61" w:rsidP="004908D5">
      <w:pPr>
        <w:autoSpaceDE w:val="0"/>
        <w:autoSpaceDN w:val="0"/>
        <w:adjustRightInd w:val="0"/>
      </w:pPr>
    </w:p>
    <w:p w14:paraId="1B9F9331" w14:textId="0A6264C9" w:rsidR="00FF2D9F" w:rsidRDefault="00FF2D9F" w:rsidP="004908D5">
      <w:pPr>
        <w:autoSpaceDE w:val="0"/>
        <w:autoSpaceDN w:val="0"/>
        <w:adjustRightInd w:val="0"/>
      </w:pPr>
      <w:r w:rsidRPr="00584EFF">
        <w:t xml:space="preserve">I </w:t>
      </w:r>
      <w:r w:rsidR="00584EFF">
        <w:t xml:space="preserve">will </w:t>
      </w:r>
      <w:r w:rsidRPr="00584EFF">
        <w:t xml:space="preserve">also use the concept of </w:t>
      </w:r>
      <w:r w:rsidRPr="00584EFF">
        <w:rPr>
          <w:i/>
          <w:iCs/>
        </w:rPr>
        <w:t>critical actors</w:t>
      </w:r>
      <w:r w:rsidRPr="00584EFF">
        <w:t xml:space="preserve"> from Childs and Krook (2006, 2009</w:t>
      </w:r>
      <w:r w:rsidR="00584EFF" w:rsidRPr="00584EFF">
        <w:t>, in Thomson 2018</w:t>
      </w:r>
      <w:r w:rsidRPr="00584EFF">
        <w:t>)</w:t>
      </w:r>
      <w:r w:rsidR="00584EFF">
        <w:t xml:space="preserve"> to examine </w:t>
      </w:r>
      <w:r w:rsidR="00160E47">
        <w:t xml:space="preserve">and explain </w:t>
      </w:r>
      <w:r w:rsidR="00584EFF">
        <w:t xml:space="preserve">the role </w:t>
      </w:r>
      <w:r w:rsidR="00160E47">
        <w:t>of activists  and government officials in the resistance and response to the fundamentalist movement in Peru</w:t>
      </w:r>
      <w:r w:rsidRPr="00584EFF">
        <w:t>.</w:t>
      </w:r>
      <w:r w:rsidR="00160E47">
        <w:t xml:space="preserve"> These are defined as </w:t>
      </w:r>
      <w:r w:rsidR="00160E47" w:rsidRPr="00160E47">
        <w:t>individuals who are developing progressive action around women’s rights, initiating reforms or mobilising others for policy change</w:t>
      </w:r>
      <w:r w:rsidR="00160E47">
        <w:t xml:space="preserve"> (C</w:t>
      </w:r>
      <w:r w:rsidR="00160E47" w:rsidRPr="00584EFF">
        <w:t>hilds and Krook 2006, 2009, in Thomson 2018)</w:t>
      </w:r>
      <w:r w:rsidR="00160E47" w:rsidRPr="00160E47">
        <w:t>.</w:t>
      </w:r>
    </w:p>
    <w:p w14:paraId="103501C2" w14:textId="5C911FA7" w:rsidR="00160E47" w:rsidRDefault="00160E47" w:rsidP="004908D5">
      <w:pPr>
        <w:autoSpaceDE w:val="0"/>
        <w:autoSpaceDN w:val="0"/>
        <w:adjustRightInd w:val="0"/>
      </w:pPr>
    </w:p>
    <w:p w14:paraId="46784201" w14:textId="002B1214" w:rsidR="00160E47" w:rsidRPr="00FF2D9F" w:rsidRDefault="00160E47" w:rsidP="004908D5">
      <w:pPr>
        <w:autoSpaceDE w:val="0"/>
        <w:autoSpaceDN w:val="0"/>
        <w:adjustRightInd w:val="0"/>
      </w:pPr>
      <w:r w:rsidRPr="00160E47">
        <w:t>The</w:t>
      </w:r>
      <w:r>
        <w:t xml:space="preserve"> operationalisation of these</w:t>
      </w:r>
      <w:r w:rsidRPr="00160E47">
        <w:t xml:space="preserve"> theor</w:t>
      </w:r>
      <w:r>
        <w:t>y</w:t>
      </w:r>
      <w:r w:rsidRPr="00160E47">
        <w:t xml:space="preserve"> and concepts will </w:t>
      </w:r>
      <w:r>
        <w:t xml:space="preserve">contribute to </w:t>
      </w:r>
      <w:r w:rsidRPr="00160E47">
        <w:t>answer the proposed research question, as well as to</w:t>
      </w:r>
      <w:r>
        <w:t xml:space="preserve"> </w:t>
      </w:r>
      <w:r w:rsidRPr="00160E47">
        <w:t xml:space="preserve">theorise </w:t>
      </w:r>
      <w:r>
        <w:t xml:space="preserve">on the nature of gender backlash and </w:t>
      </w:r>
      <w:r w:rsidRPr="00160E47">
        <w:t>how the feminist movement can resist and respond</w:t>
      </w:r>
      <w:r>
        <w:t xml:space="preserve"> to ensure gender equality gains</w:t>
      </w:r>
      <w:r w:rsidRPr="00160E47">
        <w:t>.</w:t>
      </w:r>
    </w:p>
    <w:p w14:paraId="740958F9" w14:textId="77777777" w:rsidR="00631812" w:rsidRDefault="00631812" w:rsidP="004908D5"/>
    <w:p w14:paraId="5D11675C" w14:textId="44A9BEF6" w:rsidR="0013021D" w:rsidRDefault="0013021D" w:rsidP="004908D5">
      <w:pPr>
        <w:pStyle w:val="ListParagraph"/>
        <w:numPr>
          <w:ilvl w:val="0"/>
          <w:numId w:val="2"/>
        </w:numPr>
        <w:rPr>
          <w:b/>
          <w:bCs/>
        </w:rPr>
      </w:pPr>
      <w:r w:rsidRPr="0013021D">
        <w:rPr>
          <w:b/>
          <w:bCs/>
        </w:rPr>
        <w:t>Methodology</w:t>
      </w:r>
    </w:p>
    <w:p w14:paraId="7A2B5F64" w14:textId="0377DD92" w:rsidR="00160E47" w:rsidRDefault="00160E47" w:rsidP="004908D5">
      <w:pPr>
        <w:rPr>
          <w:b/>
          <w:bCs/>
        </w:rPr>
      </w:pPr>
    </w:p>
    <w:p w14:paraId="05056CE1" w14:textId="29EAF2B9" w:rsidR="00227933" w:rsidRDefault="00774BBF" w:rsidP="004908D5">
      <w:pPr>
        <w:autoSpaceDE w:val="0"/>
        <w:autoSpaceDN w:val="0"/>
        <w:adjustRightInd w:val="0"/>
      </w:pPr>
      <w:r w:rsidRPr="00160E47">
        <w:t xml:space="preserve">McAdam, Tarrow and Tilly </w:t>
      </w:r>
      <w:r>
        <w:t>(</w:t>
      </w:r>
      <w:r w:rsidRPr="00160E47">
        <w:t>2001</w:t>
      </w:r>
      <w:r>
        <w:t>) orientate t</w:t>
      </w:r>
      <w:r w:rsidR="00160E47" w:rsidRPr="00160E47">
        <w:t xml:space="preserve">he study of </w:t>
      </w:r>
      <w:r>
        <w:t xml:space="preserve">the </w:t>
      </w:r>
      <w:r w:rsidR="00160E47" w:rsidRPr="00160E47">
        <w:t xml:space="preserve">contentious politics </w:t>
      </w:r>
      <w:r>
        <w:t xml:space="preserve">through the examination of activists’ performance </w:t>
      </w:r>
      <w:r w:rsidR="00160E47" w:rsidRPr="00160E47">
        <w:t>during the episode of contention</w:t>
      </w:r>
      <w:r>
        <w:t xml:space="preserve"> - using n</w:t>
      </w:r>
      <w:r w:rsidRPr="00160E47">
        <w:t>ewspaper records, press releases and public communications of political actors, among others</w:t>
      </w:r>
      <w:r>
        <w:t xml:space="preserve">- to analyse the </w:t>
      </w:r>
      <w:r w:rsidR="00160E47" w:rsidRPr="00160E47">
        <w:t xml:space="preserve">causal mechanisms </w:t>
      </w:r>
      <w:r>
        <w:t>that explain</w:t>
      </w:r>
      <w:r w:rsidR="00160E47" w:rsidRPr="00160E47">
        <w:t xml:space="preserve"> </w:t>
      </w:r>
      <w:r>
        <w:t xml:space="preserve">the </w:t>
      </w:r>
      <w:r w:rsidR="00160E47" w:rsidRPr="00160E47">
        <w:t>processe</w:t>
      </w:r>
      <w:r>
        <w:t>s of mobilisation</w:t>
      </w:r>
      <w:r w:rsidR="00160E47" w:rsidRPr="00160E47">
        <w:t xml:space="preserve">. </w:t>
      </w:r>
      <w:r w:rsidR="00227933" w:rsidRPr="00227933">
        <w:t xml:space="preserve">To answer my research question, I will rely on qualitative secondary data </w:t>
      </w:r>
      <w:r w:rsidR="0065346F">
        <w:t>of</w:t>
      </w:r>
      <w:r w:rsidR="00227933" w:rsidRPr="00227933">
        <w:t xml:space="preserve"> a single case study that allows deep insight into the contentious politics around gender equality</w:t>
      </w:r>
      <w:r w:rsidR="00167621">
        <w:t xml:space="preserve"> in Peru</w:t>
      </w:r>
      <w:r w:rsidR="00227933" w:rsidRPr="00227933">
        <w:t xml:space="preserve">. The </w:t>
      </w:r>
      <w:r w:rsidR="00167621">
        <w:t xml:space="preserve">selected </w:t>
      </w:r>
      <w:r w:rsidR="00227933">
        <w:t xml:space="preserve">case </w:t>
      </w:r>
      <w:r w:rsidR="00167621">
        <w:t>is the reform of the new National Education Curriculum in 2016</w:t>
      </w:r>
      <w:r w:rsidR="0065346F">
        <w:t>, which generated a large mobilisation against the implementation of the gender equality approach in the curriculum</w:t>
      </w:r>
      <w:r w:rsidR="00167621">
        <w:t>. Th</w:t>
      </w:r>
      <w:r w:rsidR="0065346F">
        <w:t xml:space="preserve">is approach </w:t>
      </w:r>
      <w:r w:rsidR="00167621">
        <w:t xml:space="preserve">was nominally in the curriculum since the </w:t>
      </w:r>
      <w:r w:rsidR="00167621" w:rsidRPr="00167621">
        <w:t>World Conference on Education in Jomtien in 1990</w:t>
      </w:r>
      <w:r w:rsidR="0065346F">
        <w:t xml:space="preserve"> </w:t>
      </w:r>
      <w:r w:rsidR="00167621" w:rsidRPr="0065346F">
        <w:t>(Muñoz, 2006)</w:t>
      </w:r>
      <w:r w:rsidR="00D95157">
        <w:t>; b</w:t>
      </w:r>
      <w:r w:rsidR="0065346F">
        <w:t>ut, it was not until 2016 that the National Council for Education asked the government to fully develop it across the curriculum</w:t>
      </w:r>
      <w:r w:rsidR="00D95157">
        <w:t xml:space="preserve"> and that the opposition groups emerged as an important social movement</w:t>
      </w:r>
      <w:r w:rsidR="0065346F">
        <w:t xml:space="preserve">. </w:t>
      </w:r>
      <w:r w:rsidR="00227933" w:rsidRPr="0065346F">
        <w:t xml:space="preserve">Focusing on </w:t>
      </w:r>
      <w:r w:rsidR="0065346F">
        <w:t>this</w:t>
      </w:r>
      <w:r w:rsidR="00227933" w:rsidRPr="0065346F">
        <w:t xml:space="preserve"> </w:t>
      </w:r>
      <w:r w:rsidR="00227933" w:rsidRPr="0065346F">
        <w:lastRenderedPageBreak/>
        <w:t xml:space="preserve">policy reform allows me to </w:t>
      </w:r>
      <w:r w:rsidR="0065346F">
        <w:t>set the boundaries of my study, in terms of</w:t>
      </w:r>
      <w:r w:rsidR="00227933" w:rsidRPr="0065346F">
        <w:t xml:space="preserve"> content, actors and</w:t>
      </w:r>
      <w:r w:rsidR="0065346F">
        <w:t xml:space="preserve"> timeline of the episode of contention</w:t>
      </w:r>
      <w:r w:rsidR="00227933" w:rsidRPr="0065346F">
        <w:t>.</w:t>
      </w:r>
    </w:p>
    <w:p w14:paraId="12348235" w14:textId="0373DDC2" w:rsidR="0065346F" w:rsidRDefault="0065346F" w:rsidP="004908D5">
      <w:pPr>
        <w:autoSpaceDE w:val="0"/>
        <w:autoSpaceDN w:val="0"/>
        <w:adjustRightInd w:val="0"/>
      </w:pPr>
    </w:p>
    <w:p w14:paraId="2314E3B7" w14:textId="77777777" w:rsidR="000778EA" w:rsidRDefault="0065346F" w:rsidP="004908D5">
      <w:pPr>
        <w:autoSpaceDE w:val="0"/>
        <w:autoSpaceDN w:val="0"/>
        <w:adjustRightInd w:val="0"/>
      </w:pPr>
      <w:r>
        <w:t>I</w:t>
      </w:r>
      <w:r w:rsidRPr="0065346F">
        <w:t xml:space="preserve"> will </w:t>
      </w:r>
      <w:r>
        <w:t>conduct qualitative research using</w:t>
      </w:r>
      <w:r w:rsidRPr="0065346F">
        <w:t xml:space="preserve"> </w:t>
      </w:r>
      <w:r w:rsidR="00EC455F">
        <w:t>primary data collection</w:t>
      </w:r>
      <w:r w:rsidRPr="0065346F">
        <w:t xml:space="preserve"> methods such as </w:t>
      </w:r>
      <w:r w:rsidR="00EC455F" w:rsidRPr="0065346F">
        <w:t>key informant interviews</w:t>
      </w:r>
      <w:r w:rsidR="00EC455F">
        <w:t xml:space="preserve"> and</w:t>
      </w:r>
      <w:r w:rsidR="00EC455F" w:rsidRPr="0065346F">
        <w:t xml:space="preserve"> </w:t>
      </w:r>
      <w:r w:rsidR="00EC455F">
        <w:t>f</w:t>
      </w:r>
      <w:r w:rsidRPr="0065346F">
        <w:t xml:space="preserve">ocus </w:t>
      </w:r>
      <w:r w:rsidR="00EC455F">
        <w:t>g</w:t>
      </w:r>
      <w:r w:rsidRPr="0065346F">
        <w:t xml:space="preserve">roup </w:t>
      </w:r>
      <w:r w:rsidR="00EC455F">
        <w:t>d</w:t>
      </w:r>
      <w:r w:rsidRPr="0065346F">
        <w:t>iscussions</w:t>
      </w:r>
      <w:r w:rsidR="00D95157">
        <w:t>,</w:t>
      </w:r>
      <w:r w:rsidR="00EC455F">
        <w:t xml:space="preserve"> with </w:t>
      </w:r>
      <w:r w:rsidR="00D95157">
        <w:t xml:space="preserve">individuals form </w:t>
      </w:r>
      <w:r w:rsidR="00EC455F">
        <w:t xml:space="preserve">three different </w:t>
      </w:r>
      <w:r w:rsidR="00D95157">
        <w:t>sets of actors</w:t>
      </w:r>
      <w:r w:rsidR="00EC455F">
        <w:t xml:space="preserve">: (a) feminist activists mobilised around the inclusion of gender equality in education; (b) government officials involved in the education policy reform and the episode of contention; and (c) relevant members of the campaign </w:t>
      </w:r>
      <w:r w:rsidR="00EC455F" w:rsidRPr="00EC455F">
        <w:rPr>
          <w:i/>
          <w:iCs/>
        </w:rPr>
        <w:t>Con Mis Hijos No Te Metas</w:t>
      </w:r>
      <w:r w:rsidR="00EC455F">
        <w:rPr>
          <w:i/>
          <w:iCs/>
        </w:rPr>
        <w:t xml:space="preserve"> </w:t>
      </w:r>
      <w:r w:rsidR="00EC455F">
        <w:t xml:space="preserve">(‘Don’t Mess Up With My Kids’). </w:t>
      </w:r>
      <w:r w:rsidR="005475A7">
        <w:t xml:space="preserve">The implementation of these methods will be remotely done until the COVID-19 pandemic is </w:t>
      </w:r>
      <w:r w:rsidR="00B82FE0">
        <w:t>contained</w:t>
      </w:r>
      <w:r w:rsidR="005475A7">
        <w:t xml:space="preserve"> in Peru </w:t>
      </w:r>
      <w:r w:rsidR="00B82FE0" w:rsidRPr="00B82FE0">
        <w:t xml:space="preserve">and the </w:t>
      </w:r>
      <w:r w:rsidR="000778EA">
        <w:t xml:space="preserve">travel </w:t>
      </w:r>
      <w:r w:rsidR="00B82FE0" w:rsidRPr="00B82FE0">
        <w:t xml:space="preserve">conditions are safe enough to </w:t>
      </w:r>
      <w:r w:rsidR="000778EA">
        <w:t>go</w:t>
      </w:r>
      <w:r w:rsidR="00B82FE0" w:rsidRPr="00B82FE0">
        <w:t xml:space="preserve"> to the country</w:t>
      </w:r>
      <w:r w:rsidR="005475A7">
        <w:t>.</w:t>
      </w:r>
      <w:r w:rsidR="00B82FE0">
        <w:t xml:space="preserve"> My previous research on this topic and my experience in </w:t>
      </w:r>
      <w:r w:rsidR="000778EA">
        <w:t>Peru</w:t>
      </w:r>
      <w:r w:rsidR="00B82FE0">
        <w:t xml:space="preserve"> </w:t>
      </w:r>
      <w:r w:rsidR="000778EA">
        <w:t xml:space="preserve">for 13 years </w:t>
      </w:r>
      <w:r w:rsidR="00B82FE0">
        <w:t>as a development practitioner allow me to under</w:t>
      </w:r>
      <w:r w:rsidR="000778EA">
        <w:t>s</w:t>
      </w:r>
      <w:r w:rsidR="00B82FE0">
        <w:t xml:space="preserve">tand the </w:t>
      </w:r>
      <w:r w:rsidR="000778EA">
        <w:t xml:space="preserve">context and to have access to most of the key informants proposed, particularly those part of the feminist movement and the government. </w:t>
      </w:r>
    </w:p>
    <w:p w14:paraId="45FF3144" w14:textId="77777777" w:rsidR="000778EA" w:rsidRDefault="000778EA" w:rsidP="004908D5">
      <w:pPr>
        <w:autoSpaceDE w:val="0"/>
        <w:autoSpaceDN w:val="0"/>
        <w:adjustRightInd w:val="0"/>
      </w:pPr>
    </w:p>
    <w:p w14:paraId="7D36491A" w14:textId="5A3BE5A9" w:rsidR="005475A7" w:rsidRDefault="00EC455F" w:rsidP="004908D5">
      <w:pPr>
        <w:autoSpaceDE w:val="0"/>
        <w:autoSpaceDN w:val="0"/>
        <w:adjustRightInd w:val="0"/>
      </w:pPr>
      <w:r>
        <w:t xml:space="preserve">I will also </w:t>
      </w:r>
      <w:r w:rsidR="00D95157">
        <w:t>collect</w:t>
      </w:r>
      <w:r>
        <w:t xml:space="preserve"> qualitative secondary data </w:t>
      </w:r>
      <w:r w:rsidR="00D95157">
        <w:t xml:space="preserve">from </w:t>
      </w:r>
      <w:r w:rsidRPr="00EC455F">
        <w:t xml:space="preserve">major national newspapers </w:t>
      </w:r>
      <w:r>
        <w:t>and investigative journalism portals</w:t>
      </w:r>
      <w:r w:rsidR="00D95157">
        <w:t>, official documents, social media</w:t>
      </w:r>
      <w:r w:rsidR="005475A7">
        <w:t>,</w:t>
      </w:r>
      <w:r w:rsidR="00D95157">
        <w:t xml:space="preserve"> and public communications from campaign</w:t>
      </w:r>
      <w:r w:rsidR="000778EA">
        <w:t>er</w:t>
      </w:r>
      <w:r w:rsidR="00D95157">
        <w:t>s</w:t>
      </w:r>
      <w:r w:rsidR="000778EA">
        <w:t>, both</w:t>
      </w:r>
      <w:r w:rsidR="00D95157">
        <w:t xml:space="preserve"> in favour and against the implementation of the gender equality approach in the curriculum. </w:t>
      </w:r>
      <w:r w:rsidR="005475A7">
        <w:t xml:space="preserve">This information will allow me to triangulate the data collected from primary sources. </w:t>
      </w:r>
      <w:r w:rsidR="00D95157">
        <w:t xml:space="preserve">For </w:t>
      </w:r>
      <w:r w:rsidR="000778EA">
        <w:t xml:space="preserve">developing </w:t>
      </w:r>
      <w:r w:rsidR="00D95157">
        <w:t>the analysis</w:t>
      </w:r>
      <w:r w:rsidR="000778EA">
        <w:t xml:space="preserve"> of the data</w:t>
      </w:r>
      <w:r w:rsidR="00D95157">
        <w:t xml:space="preserve">, I will use discourse and content analysis methods </w:t>
      </w:r>
      <w:r w:rsidR="005475A7">
        <w:t>based on</w:t>
      </w:r>
      <w:r w:rsidR="00D95157">
        <w:t xml:space="preserve"> the </w:t>
      </w:r>
      <w:r w:rsidR="005475A7">
        <w:t>concepts from my theoretical framework</w:t>
      </w:r>
      <w:r w:rsidR="00D95157">
        <w:t xml:space="preserve">: </w:t>
      </w:r>
      <w:r w:rsidR="00D95157" w:rsidRPr="002538A0">
        <w:t>(a) the political opportunity structure</w:t>
      </w:r>
      <w:r w:rsidR="00D95157">
        <w:t>s</w:t>
      </w:r>
      <w:r w:rsidR="00D95157" w:rsidRPr="002538A0">
        <w:t xml:space="preserve">, (b) </w:t>
      </w:r>
      <w:r w:rsidR="00D95157">
        <w:t xml:space="preserve">the </w:t>
      </w:r>
      <w:r w:rsidR="00D95157" w:rsidRPr="002538A0">
        <w:t xml:space="preserve">resource mobilisation, (c) </w:t>
      </w:r>
      <w:r w:rsidR="00D95157">
        <w:t xml:space="preserve">the </w:t>
      </w:r>
      <w:r w:rsidR="00D95157" w:rsidRPr="002538A0">
        <w:t xml:space="preserve">framing of demands, and (d) </w:t>
      </w:r>
      <w:r w:rsidR="00D95157">
        <w:t xml:space="preserve">the </w:t>
      </w:r>
      <w:r w:rsidR="00D95157" w:rsidRPr="002538A0">
        <w:rPr>
          <w:i/>
          <w:iCs/>
        </w:rPr>
        <w:t>repertoires</w:t>
      </w:r>
      <w:r w:rsidR="00D95157" w:rsidRPr="002538A0">
        <w:t xml:space="preserve"> of contention.</w:t>
      </w:r>
      <w:r w:rsidR="005475A7">
        <w:t xml:space="preserve"> I will code my data </w:t>
      </w:r>
      <w:r w:rsidR="000778EA">
        <w:t xml:space="preserve">according to these concepts </w:t>
      </w:r>
      <w:r w:rsidR="005475A7">
        <w:t>and use NVivo as data analysis software. Ethical considerations from the University of Sussex will be followed</w:t>
      </w:r>
      <w:r w:rsidR="000778EA">
        <w:t>.</w:t>
      </w:r>
    </w:p>
    <w:p w14:paraId="61CE07F0" w14:textId="381361B9" w:rsidR="0013021D" w:rsidRDefault="0013021D" w:rsidP="004908D5"/>
    <w:p w14:paraId="5A98C062" w14:textId="17C4BA7C" w:rsidR="0013021D" w:rsidRPr="0013021D" w:rsidRDefault="0013021D" w:rsidP="004908D5">
      <w:pPr>
        <w:pStyle w:val="ListParagraph"/>
        <w:numPr>
          <w:ilvl w:val="0"/>
          <w:numId w:val="2"/>
        </w:numPr>
        <w:rPr>
          <w:b/>
          <w:bCs/>
        </w:rPr>
      </w:pPr>
      <w:r w:rsidRPr="0013021D">
        <w:rPr>
          <w:b/>
          <w:bCs/>
        </w:rPr>
        <w:t>Structure</w:t>
      </w:r>
      <w:r w:rsidR="00631812">
        <w:rPr>
          <w:b/>
          <w:bCs/>
        </w:rPr>
        <w:t xml:space="preserve"> </w:t>
      </w:r>
      <w:r w:rsidR="000778EA">
        <w:rPr>
          <w:b/>
          <w:bCs/>
        </w:rPr>
        <w:t xml:space="preserve">of the </w:t>
      </w:r>
      <w:r w:rsidR="00876EE3">
        <w:rPr>
          <w:b/>
          <w:bCs/>
        </w:rPr>
        <w:t>study</w:t>
      </w:r>
    </w:p>
    <w:p w14:paraId="017565C8" w14:textId="7EE7E499" w:rsidR="0013021D" w:rsidRDefault="0013021D" w:rsidP="004908D5"/>
    <w:p w14:paraId="1A49F656" w14:textId="742604D4" w:rsidR="00876EE3" w:rsidRPr="00D916A9" w:rsidRDefault="000778EA" w:rsidP="004908D5">
      <w:r>
        <w:t>The research will be presented under the following structure</w:t>
      </w:r>
      <w:r w:rsidR="004908D5">
        <w:t xml:space="preserve">. </w:t>
      </w:r>
      <w:r w:rsidR="00C71B53" w:rsidRPr="00D916A9">
        <w:t>First, I</w:t>
      </w:r>
      <w:r w:rsidRPr="00D916A9">
        <w:t xml:space="preserve"> will introduce the study, </w:t>
      </w:r>
      <w:r w:rsidR="00F35B38" w:rsidRPr="00D916A9">
        <w:t xml:space="preserve">state the problem and the research questions, explain the relevance and pertinence of these questions, and state the main argument that comes from the analysis and review of the literature. </w:t>
      </w:r>
      <w:r w:rsidR="00C71B53" w:rsidRPr="00D916A9">
        <w:t>Second, I</w:t>
      </w:r>
      <w:r w:rsidR="00F35B38" w:rsidRPr="00D916A9">
        <w:t xml:space="preserve"> will present a revision of the literature around backlash, social movement theory, feminist theory, and gender equality change, and will state the theoretical framework </w:t>
      </w:r>
      <w:r w:rsidR="00876EE3" w:rsidRPr="00D916A9">
        <w:t>to</w:t>
      </w:r>
      <w:r w:rsidR="00F35B38" w:rsidRPr="00D916A9">
        <w:t xml:space="preserve"> be used in the analysis of the case study. </w:t>
      </w:r>
      <w:r w:rsidR="00C71B53" w:rsidRPr="00D916A9">
        <w:t>T</w:t>
      </w:r>
      <w:r w:rsidR="00F35B38" w:rsidRPr="00D916A9">
        <w:t>hird</w:t>
      </w:r>
      <w:r w:rsidR="00C71B53" w:rsidRPr="00D916A9">
        <w:t xml:space="preserve">, I </w:t>
      </w:r>
      <w:r w:rsidR="00F35B38" w:rsidRPr="00D916A9">
        <w:t xml:space="preserve">will explain the </w:t>
      </w:r>
      <w:r w:rsidR="00876EE3" w:rsidRPr="00D916A9">
        <w:t>design of</w:t>
      </w:r>
      <w:r w:rsidR="00F35B38" w:rsidRPr="00D916A9">
        <w:t xml:space="preserve"> the study</w:t>
      </w:r>
      <w:r w:rsidR="00876EE3" w:rsidRPr="00D916A9">
        <w:t xml:space="preserve">, as well as present a detailed description of methods used and limitations founded. </w:t>
      </w:r>
      <w:r w:rsidR="00C71B53" w:rsidRPr="00D916A9">
        <w:t>F</w:t>
      </w:r>
      <w:r w:rsidR="00876EE3" w:rsidRPr="00D916A9">
        <w:t>ourth</w:t>
      </w:r>
      <w:r w:rsidR="00C71B53" w:rsidRPr="00D916A9">
        <w:t xml:space="preserve">, I </w:t>
      </w:r>
      <w:r w:rsidR="00876EE3" w:rsidRPr="00D916A9">
        <w:t xml:space="preserve">will explain the case study and the actors in contention, with a particular focus on the emergence of the </w:t>
      </w:r>
      <w:r w:rsidR="00C71B53" w:rsidRPr="00D916A9">
        <w:t>opposition actors as a countermovement</w:t>
      </w:r>
      <w:r w:rsidR="00876EE3" w:rsidRPr="00D916A9">
        <w:t xml:space="preserve">. </w:t>
      </w:r>
      <w:r w:rsidR="00C71B53" w:rsidRPr="00D916A9">
        <w:t>F</w:t>
      </w:r>
      <w:r w:rsidR="00876EE3" w:rsidRPr="00D916A9">
        <w:t>ifth</w:t>
      </w:r>
      <w:r w:rsidR="00C71B53" w:rsidRPr="00D916A9">
        <w:t xml:space="preserve">, I </w:t>
      </w:r>
      <w:r w:rsidR="00876EE3" w:rsidRPr="00D916A9">
        <w:t xml:space="preserve">will explain the </w:t>
      </w:r>
      <w:r w:rsidR="00C71B53" w:rsidRPr="00D916A9">
        <w:t>political opportunity structure of both actors. Sixth, I will analyse and compare the resource mobilisation of both movements. Seventh, I will present how the movement and countermovement framed the dispute.</w:t>
      </w:r>
      <w:r w:rsidR="004908D5">
        <w:t xml:space="preserve"> </w:t>
      </w:r>
      <w:r w:rsidR="00C71B53" w:rsidRPr="00D916A9">
        <w:t>Eight</w:t>
      </w:r>
      <w:r w:rsidR="00192D18" w:rsidRPr="00D916A9">
        <w:t>h</w:t>
      </w:r>
      <w:r w:rsidR="00C71B53" w:rsidRPr="00D916A9">
        <w:t>, I will address the innovative forms of collective action or repertoires of contention utilised  by both actors.</w:t>
      </w:r>
      <w:r w:rsidR="004908D5">
        <w:t xml:space="preserve"> </w:t>
      </w:r>
      <w:r w:rsidR="00C71B53" w:rsidRPr="00D916A9">
        <w:t>Ninth, I will summarise the findings from the research.</w:t>
      </w:r>
      <w:r w:rsidR="004908D5">
        <w:t xml:space="preserve"> </w:t>
      </w:r>
      <w:r w:rsidR="00C71B53" w:rsidRPr="00D916A9">
        <w:t xml:space="preserve">Tenth, I will present the conclusion and recommendations. </w:t>
      </w:r>
    </w:p>
    <w:p w14:paraId="6D3F1F78" w14:textId="476390F5" w:rsidR="00631812" w:rsidRDefault="00631812" w:rsidP="004908D5"/>
    <w:p w14:paraId="51BCD65A" w14:textId="5478223F" w:rsidR="004908D5" w:rsidRDefault="004908D5" w:rsidP="004908D5"/>
    <w:p w14:paraId="1FC6A5C7" w14:textId="22D2836F" w:rsidR="004908D5" w:rsidRDefault="004908D5" w:rsidP="004908D5"/>
    <w:p w14:paraId="0108FF63" w14:textId="77777777" w:rsidR="004908D5" w:rsidRDefault="004908D5" w:rsidP="004908D5"/>
    <w:p w14:paraId="78CF6A6E" w14:textId="644B683E" w:rsidR="0013021D" w:rsidRPr="0013021D" w:rsidRDefault="0013021D" w:rsidP="004908D5">
      <w:pPr>
        <w:pStyle w:val="ListParagraph"/>
        <w:numPr>
          <w:ilvl w:val="0"/>
          <w:numId w:val="2"/>
        </w:numPr>
        <w:rPr>
          <w:b/>
          <w:bCs/>
        </w:rPr>
      </w:pPr>
      <w:r w:rsidRPr="0013021D">
        <w:rPr>
          <w:b/>
          <w:bCs/>
        </w:rPr>
        <w:lastRenderedPageBreak/>
        <w:t>Anticipated contribution of the study</w:t>
      </w:r>
    </w:p>
    <w:p w14:paraId="1542CCB3" w14:textId="77777777" w:rsidR="0013021D" w:rsidRPr="0013021D" w:rsidRDefault="0013021D" w:rsidP="004908D5"/>
    <w:p w14:paraId="64C6CB0F" w14:textId="574D36B9" w:rsidR="008607BA" w:rsidRPr="00C17602" w:rsidRDefault="00192D18" w:rsidP="004908D5">
      <w:r>
        <w:t xml:space="preserve">There are three areas of contribution of this study. Firstly, it will bring together </w:t>
      </w:r>
      <w:r w:rsidR="00432D9A">
        <w:t>bodies of literature</w:t>
      </w:r>
      <w:r w:rsidR="00DF48CE">
        <w:t xml:space="preserve"> </w:t>
      </w:r>
      <w:r w:rsidR="008607BA">
        <w:t xml:space="preserve">that </w:t>
      </w:r>
      <w:r w:rsidR="00D916A9">
        <w:t>do</w:t>
      </w:r>
      <w:r w:rsidR="008607BA">
        <w:t xml:space="preserve"> not always dialogue to explain </w:t>
      </w:r>
      <w:r w:rsidR="00D916A9">
        <w:t>gender equality change</w:t>
      </w:r>
      <w:r w:rsidR="008607BA">
        <w:t xml:space="preserve">: literature </w:t>
      </w:r>
      <w:r w:rsidR="00DF48CE">
        <w:t xml:space="preserve">on </w:t>
      </w:r>
      <w:r w:rsidR="00432D9A">
        <w:t xml:space="preserve">social movements, </w:t>
      </w:r>
      <w:r w:rsidR="00D916A9">
        <w:t xml:space="preserve">literature on </w:t>
      </w:r>
      <w:r w:rsidR="00432D9A">
        <w:t>feminis</w:t>
      </w:r>
      <w:r w:rsidR="008607BA">
        <w:t>t mobilisation,</w:t>
      </w:r>
      <w:r w:rsidR="00432D9A">
        <w:t xml:space="preserve"> and </w:t>
      </w:r>
      <w:r w:rsidR="00D916A9">
        <w:t xml:space="preserve">literature on </w:t>
      </w:r>
      <w:r w:rsidR="00432D9A">
        <w:t>backlash</w:t>
      </w:r>
      <w:r w:rsidR="008607BA">
        <w:t>. This exercise will</w:t>
      </w:r>
      <w:r w:rsidR="00432D9A">
        <w:t xml:space="preserve"> </w:t>
      </w:r>
      <w:r w:rsidR="008607BA">
        <w:t>represent a contribution to</w:t>
      </w:r>
      <w:r w:rsidR="00DF48CE">
        <w:t xml:space="preserve"> </w:t>
      </w:r>
      <w:r w:rsidR="008607BA">
        <w:t>the</w:t>
      </w:r>
      <w:r w:rsidR="00DF48CE">
        <w:t xml:space="preserve"> </w:t>
      </w:r>
      <w:r w:rsidR="00432D9A">
        <w:t>social movemen</w:t>
      </w:r>
      <w:r w:rsidR="00DF48CE">
        <w:t>ts</w:t>
      </w:r>
      <w:r w:rsidR="008607BA">
        <w:t xml:space="preserve"> literature</w:t>
      </w:r>
      <w:r w:rsidR="00D916A9">
        <w:t xml:space="preserve"> and the understanding of the movement and countermovement dynamics from a feminist perspective</w:t>
      </w:r>
      <w:r w:rsidR="00432D9A">
        <w:t>.</w:t>
      </w:r>
      <w:r w:rsidR="008607BA">
        <w:t xml:space="preserve"> Secondly, there is an empirical contribution related to the </w:t>
      </w:r>
      <w:r w:rsidR="00D916A9">
        <w:t>understanding</w:t>
      </w:r>
      <w:r w:rsidR="008607BA">
        <w:t xml:space="preserve"> o</w:t>
      </w:r>
      <w:r w:rsidR="00D916A9">
        <w:t>f</w:t>
      </w:r>
      <w:r w:rsidR="008607BA">
        <w:t xml:space="preserve"> the fundamentalist movement in Peru and </w:t>
      </w:r>
      <w:r w:rsidR="00D916A9">
        <w:t>its</w:t>
      </w:r>
      <w:r w:rsidR="008607BA">
        <w:t xml:space="preserve"> connections at the international level, particularly with </w:t>
      </w:r>
      <w:r w:rsidR="00D916A9">
        <w:t>the</w:t>
      </w:r>
      <w:r w:rsidR="008607BA">
        <w:t xml:space="preserve"> US and Spain</w:t>
      </w:r>
      <w:r w:rsidR="00D916A9">
        <w:t>, something that remains as a gap in the literature. And lastly, this study will add the findings from the Peruvian experience to the backlash ongoing conceptual debates, having the potential to make an original contribution to this body of literature.</w:t>
      </w:r>
    </w:p>
    <w:p w14:paraId="01B97AB9" w14:textId="77777777" w:rsidR="00192D18" w:rsidRDefault="00192D18" w:rsidP="004908D5"/>
    <w:p w14:paraId="6EA8794F" w14:textId="5DF7AD20" w:rsidR="0013021D" w:rsidRPr="00192D18" w:rsidRDefault="00192D18" w:rsidP="004908D5">
      <w:pPr>
        <w:rPr>
          <w:b/>
          <w:bCs/>
        </w:rPr>
      </w:pPr>
      <w:r w:rsidRPr="00192D18">
        <w:rPr>
          <w:b/>
          <w:bCs/>
        </w:rPr>
        <w:t>References</w:t>
      </w:r>
    </w:p>
    <w:p w14:paraId="4DF0AA98" w14:textId="7C2E12DB" w:rsidR="00192D18" w:rsidRDefault="00192D18" w:rsidP="004908D5"/>
    <w:p w14:paraId="55478864" w14:textId="68F70C4B" w:rsidR="00827A29" w:rsidRPr="00827A29" w:rsidRDefault="00827A29" w:rsidP="004908D5">
      <w:pPr>
        <w:ind w:left="709" w:hanging="709"/>
      </w:pPr>
      <w:r w:rsidRPr="00827A29">
        <w:t>Alonso, A. and Lombardo, E. (2018) Gender Equality and De-Democratization Processes: The</w:t>
      </w:r>
      <w:r>
        <w:t xml:space="preserve"> </w:t>
      </w:r>
      <w:r w:rsidRPr="00827A29">
        <w:t xml:space="preserve">Case of Spain, </w:t>
      </w:r>
      <w:r w:rsidRPr="00827A29">
        <w:rPr>
          <w:i/>
          <w:iCs/>
        </w:rPr>
        <w:t>Politics and Governance</w:t>
      </w:r>
      <w:r w:rsidRPr="00827A29">
        <w:t>, 6(4): 78–89, doi:10.17645/pag.v6i3.1419</w:t>
      </w:r>
    </w:p>
    <w:p w14:paraId="497C9E59" w14:textId="77777777" w:rsidR="00827A29" w:rsidRPr="00827A29" w:rsidRDefault="00827A29" w:rsidP="004908D5"/>
    <w:p w14:paraId="3448442A" w14:textId="54939139" w:rsidR="00827A29" w:rsidRPr="00827A29" w:rsidRDefault="00827A29" w:rsidP="004908D5">
      <w:pPr>
        <w:ind w:left="709" w:hanging="709"/>
      </w:pPr>
      <w:r w:rsidRPr="00827A29">
        <w:t xml:space="preserve">Balchin, C. (2011) </w:t>
      </w:r>
      <w:r w:rsidRPr="00827A29">
        <w:rPr>
          <w:i/>
          <w:iCs/>
        </w:rPr>
        <w:t>Towards a Future without Fundamentalisms. Analyzing Religious Fundamentalist Strategies and Feminist Responses</w:t>
      </w:r>
      <w:r w:rsidRPr="00827A29">
        <w:t>, Toronto: Association for Women's</w:t>
      </w:r>
      <w:r>
        <w:t xml:space="preserve"> </w:t>
      </w:r>
      <w:r w:rsidRPr="00827A29">
        <w:t>Rights in Development</w:t>
      </w:r>
    </w:p>
    <w:p w14:paraId="536BBEF2" w14:textId="77777777" w:rsidR="00827A29" w:rsidRPr="00827A29" w:rsidRDefault="00827A29" w:rsidP="004908D5"/>
    <w:p w14:paraId="678932E3" w14:textId="66F71F5D" w:rsidR="00827A29" w:rsidRPr="00827A29" w:rsidRDefault="00827A29" w:rsidP="004908D5">
      <w:pPr>
        <w:ind w:left="567" w:hanging="567"/>
      </w:pPr>
      <w:r w:rsidRPr="00827A29">
        <w:t>Barrera, P. (2017) “Don’t you mess with my children”. Conservative Inter-religious</w:t>
      </w:r>
      <w:r>
        <w:t xml:space="preserve"> </w:t>
      </w:r>
      <w:r w:rsidRPr="00827A29">
        <w:t>Cooperation in Peru in the XXI Centur</w:t>
      </w:r>
      <w:r>
        <w:t>y</w:t>
      </w:r>
      <w:r w:rsidRPr="00827A29">
        <w:t xml:space="preserve">, </w:t>
      </w:r>
      <w:r w:rsidRPr="00827A29">
        <w:rPr>
          <w:i/>
          <w:iCs/>
        </w:rPr>
        <w:t>International Journal of Latin American Religions</w:t>
      </w:r>
      <w:r w:rsidRPr="00827A29">
        <w:t>,</w:t>
      </w:r>
      <w:r>
        <w:t xml:space="preserve"> </w:t>
      </w:r>
      <w:r w:rsidRPr="00827A29">
        <w:t>1(2): 296–308, doi:10.1007/s41603-017-0030-5</w:t>
      </w:r>
    </w:p>
    <w:p w14:paraId="15721AAA" w14:textId="77777777" w:rsidR="00827A29" w:rsidRPr="00827A29" w:rsidRDefault="00827A29" w:rsidP="004908D5"/>
    <w:p w14:paraId="5575AA52" w14:textId="44FE560F" w:rsidR="00827A29" w:rsidRPr="00827A29" w:rsidRDefault="00827A29" w:rsidP="004908D5">
      <w:pPr>
        <w:ind w:left="709" w:hanging="709"/>
      </w:pPr>
      <w:r w:rsidRPr="00827A29">
        <w:t xml:space="preserve">Bracke, S., &amp; Paternotte, D. (2016). Unpacking the Sin of Gender. </w:t>
      </w:r>
      <w:r w:rsidRPr="00827A29">
        <w:rPr>
          <w:i/>
          <w:iCs/>
        </w:rPr>
        <w:t>Religion and Gender</w:t>
      </w:r>
      <w:r w:rsidRPr="00827A29">
        <w:t>, 6(2),</w:t>
      </w:r>
      <w:r>
        <w:t xml:space="preserve"> </w:t>
      </w:r>
      <w:r w:rsidRPr="00827A29">
        <w:t>143–154. https://doi.org/10.18352/rg.10167</w:t>
      </w:r>
    </w:p>
    <w:p w14:paraId="1E13FF55" w14:textId="77777777" w:rsidR="00827A29" w:rsidRPr="00827A29" w:rsidRDefault="00827A29" w:rsidP="004908D5"/>
    <w:p w14:paraId="003716CE" w14:textId="77777777" w:rsidR="00827A29" w:rsidRPr="00827A29" w:rsidRDefault="00827A29" w:rsidP="004908D5">
      <w:pPr>
        <w:ind w:left="709" w:hanging="709"/>
      </w:pPr>
      <w:r w:rsidRPr="00827A29">
        <w:t xml:space="preserve">Braithwaite, A. (2004). Politics of/and Backlash. </w:t>
      </w:r>
      <w:r w:rsidRPr="00827A29">
        <w:rPr>
          <w:i/>
          <w:iCs/>
        </w:rPr>
        <w:t>Journal of International Women’s Studies</w:t>
      </w:r>
      <w:r w:rsidRPr="00827A29">
        <w:t>, 5(5), 18–33.</w:t>
      </w:r>
    </w:p>
    <w:p w14:paraId="5C7295C8" w14:textId="77777777" w:rsidR="00827A29" w:rsidRPr="00827A29" w:rsidRDefault="00827A29" w:rsidP="004908D5">
      <w:r w:rsidRPr="00827A29">
        <w:t xml:space="preserve"> </w:t>
      </w:r>
    </w:p>
    <w:p w14:paraId="2E172C18" w14:textId="4411D1FE" w:rsidR="00827A29" w:rsidRPr="00827A29" w:rsidRDefault="00827A29" w:rsidP="004908D5">
      <w:pPr>
        <w:ind w:left="709" w:hanging="709"/>
        <w:rPr>
          <w:lang w:val="es-ES"/>
        </w:rPr>
      </w:pPr>
      <w:r w:rsidRPr="00827A29">
        <w:t xml:space="preserve">Burneo, C. (2018) Ecuador: La fabricación de la “ideología de género, in A. C. González Vélez, L. Castro, C. Burneo, A. Motta, and O. Amat y León, </w:t>
      </w:r>
      <w:r w:rsidRPr="00827A29">
        <w:rPr>
          <w:i/>
          <w:iCs/>
        </w:rPr>
        <w:t xml:space="preserve">Develando la retórica del miedo de los fundamentalismos. </w:t>
      </w:r>
      <w:r w:rsidRPr="00827A29">
        <w:rPr>
          <w:i/>
          <w:iCs/>
          <w:lang w:val="es-ES"/>
        </w:rPr>
        <w:t>La campaña ‘Con Mis Hijos No Te Metas’ en Colombia, Ecuador y Perú</w:t>
      </w:r>
      <w:r w:rsidRPr="00827A29">
        <w:rPr>
          <w:lang w:val="es-ES"/>
        </w:rPr>
        <w:t>, Lima: CMP Flora Tristán</w:t>
      </w:r>
    </w:p>
    <w:p w14:paraId="4CD39618" w14:textId="77777777" w:rsidR="00827A29" w:rsidRPr="00827A29" w:rsidRDefault="00827A29" w:rsidP="004908D5">
      <w:pPr>
        <w:ind w:left="709" w:hanging="709"/>
        <w:rPr>
          <w:lang w:val="es-ES"/>
        </w:rPr>
      </w:pPr>
    </w:p>
    <w:p w14:paraId="4A035322" w14:textId="77777777" w:rsidR="00827A29" w:rsidRPr="00827A29" w:rsidRDefault="00827A29" w:rsidP="004908D5">
      <w:pPr>
        <w:ind w:left="709" w:hanging="709"/>
      </w:pPr>
      <w:r w:rsidRPr="00827A29">
        <w:t xml:space="preserve">Chappell, L. (2006). Contesting women’s rights: Charting the emergence of a transnational conservative counter-network. </w:t>
      </w:r>
      <w:r w:rsidRPr="00827A29">
        <w:rPr>
          <w:i/>
          <w:iCs/>
        </w:rPr>
        <w:t>Global Society</w:t>
      </w:r>
      <w:r w:rsidRPr="00827A29">
        <w:t>, 20(4), 491–520. https://doi.org/10.1080/13600820600929853</w:t>
      </w:r>
    </w:p>
    <w:p w14:paraId="7C9924F3" w14:textId="77777777" w:rsidR="00827A29" w:rsidRPr="00827A29" w:rsidRDefault="00827A29" w:rsidP="004908D5">
      <w:pPr>
        <w:ind w:left="709" w:hanging="709"/>
      </w:pPr>
    </w:p>
    <w:p w14:paraId="1A2B8A2C" w14:textId="77777777" w:rsidR="00827A29" w:rsidRPr="00827A29" w:rsidRDefault="00827A29" w:rsidP="004908D5">
      <w:pPr>
        <w:ind w:left="709" w:hanging="709"/>
      </w:pPr>
      <w:r w:rsidRPr="00827A29">
        <w:t xml:space="preserve">Corrêa, S. (2017, December 11) Gender Ideology: tracking its origins and meanings in current gender politics, </w:t>
      </w:r>
      <w:r w:rsidRPr="00827A29">
        <w:rPr>
          <w:i/>
          <w:iCs/>
        </w:rPr>
        <w:t>Engenderings Blog</w:t>
      </w:r>
      <w:r w:rsidRPr="00827A29">
        <w:t>. Retrieved from https://blogs.lse.ac.uk/gender/2017/12/11/gender-ideology-tracking-its-origins-andmeanings-in-current-gender-politics/ (accessed 12 July 2020)</w:t>
      </w:r>
    </w:p>
    <w:p w14:paraId="13607242" w14:textId="77777777" w:rsidR="00827A29" w:rsidRPr="00827A29" w:rsidRDefault="00827A29" w:rsidP="004908D5">
      <w:pPr>
        <w:ind w:left="709" w:hanging="709"/>
      </w:pPr>
    </w:p>
    <w:p w14:paraId="760C1142" w14:textId="57FF70E7" w:rsidR="00827A29" w:rsidRPr="00827A29" w:rsidRDefault="00827A29" w:rsidP="004908D5">
      <w:pPr>
        <w:ind w:left="709" w:hanging="709"/>
      </w:pPr>
      <w:r w:rsidRPr="00827A29">
        <w:lastRenderedPageBreak/>
        <w:t>Corrêa, S., Paternotte, D., &amp; Kuhar, R. (2018, May 31). The globalisation of anti-gender campaigns</w:t>
      </w:r>
      <w:r>
        <w:t>.</w:t>
      </w:r>
      <w:r w:rsidRPr="00827A29">
        <w:t xml:space="preserve"> </w:t>
      </w:r>
      <w:r w:rsidRPr="00827A29">
        <w:rPr>
          <w:i/>
          <w:iCs/>
        </w:rPr>
        <w:t>International Politics and Society</w:t>
      </w:r>
      <w:r w:rsidRPr="00827A29">
        <w:t xml:space="preserve">. Retrieved from: https://perma.cc/XV3G-LSUC (accessed </w:t>
      </w:r>
      <w:r>
        <w:t>12</w:t>
      </w:r>
      <w:r w:rsidRPr="00827A29">
        <w:t xml:space="preserve"> </w:t>
      </w:r>
      <w:r>
        <w:t>July</w:t>
      </w:r>
      <w:r w:rsidRPr="00827A29">
        <w:t xml:space="preserve"> 2020) </w:t>
      </w:r>
    </w:p>
    <w:p w14:paraId="6C3207C8" w14:textId="77777777" w:rsidR="00827A29" w:rsidRPr="00827A29" w:rsidRDefault="00827A29" w:rsidP="004908D5">
      <w:pPr>
        <w:ind w:left="709" w:hanging="709"/>
      </w:pPr>
    </w:p>
    <w:p w14:paraId="1FE99BF6" w14:textId="360160EC" w:rsidR="00827A29" w:rsidRPr="00827A29" w:rsidRDefault="00827A29" w:rsidP="004908D5">
      <w:pPr>
        <w:ind w:left="709" w:hanging="709"/>
      </w:pPr>
      <w:r w:rsidRPr="00827A29">
        <w:t xml:space="preserve">Corredor, E. S. (2019) “Unpacking “gender ideology” and the global right’s antigender countermovement, </w:t>
      </w:r>
      <w:r w:rsidRPr="00827A29">
        <w:rPr>
          <w:i/>
          <w:iCs/>
        </w:rPr>
        <w:t>Signs Journal of Women in Culture and Society</w:t>
      </w:r>
      <w:r w:rsidRPr="00827A29">
        <w:t>, 44(3): 613–638,</w:t>
      </w:r>
      <w:r>
        <w:t xml:space="preserve"> </w:t>
      </w:r>
      <w:r w:rsidRPr="00827A29">
        <w:t>doi:10.1086/701171</w:t>
      </w:r>
    </w:p>
    <w:p w14:paraId="56618787" w14:textId="77777777" w:rsidR="00827A29" w:rsidRPr="00827A29" w:rsidRDefault="00827A29" w:rsidP="004908D5">
      <w:pPr>
        <w:ind w:left="709" w:hanging="709"/>
      </w:pPr>
    </w:p>
    <w:p w14:paraId="6010DD85" w14:textId="77777777" w:rsidR="00827A29" w:rsidRPr="00827A29" w:rsidRDefault="00827A29" w:rsidP="004908D5">
      <w:pPr>
        <w:ind w:left="709" w:hanging="709"/>
      </w:pPr>
      <w:r w:rsidRPr="00827A29">
        <w:t xml:space="preserve">de Figueiredo, F. (2018) “Não se meta com meus filhos”: a construção do pânico moral da criança sob ameaça, </w:t>
      </w:r>
      <w:r w:rsidRPr="00827A29">
        <w:rPr>
          <w:i/>
          <w:iCs/>
        </w:rPr>
        <w:t>Cadernos Pagu</w:t>
      </w:r>
      <w:r w:rsidRPr="00827A29">
        <w:t>, 53, doi:10.1590/18094449201800530006</w:t>
      </w:r>
    </w:p>
    <w:p w14:paraId="020F1727" w14:textId="77777777" w:rsidR="00827A29" w:rsidRPr="00827A29" w:rsidRDefault="00827A29" w:rsidP="004908D5">
      <w:pPr>
        <w:ind w:left="709" w:hanging="709"/>
      </w:pPr>
    </w:p>
    <w:p w14:paraId="17F7F2DC" w14:textId="77777777" w:rsidR="00827A29" w:rsidRPr="00827A29" w:rsidRDefault="00827A29" w:rsidP="004908D5">
      <w:pPr>
        <w:ind w:left="709" w:hanging="709"/>
      </w:pPr>
      <w:r w:rsidRPr="00827A29">
        <w:t xml:space="preserve">Faludi, S. (1991) </w:t>
      </w:r>
      <w:r w:rsidRPr="00827A29">
        <w:rPr>
          <w:i/>
          <w:iCs/>
        </w:rPr>
        <w:t>Backlash: The Undeclared War Against American Women</w:t>
      </w:r>
      <w:r w:rsidRPr="00827A29">
        <w:t>, London: Chatto &amp; Windus</w:t>
      </w:r>
    </w:p>
    <w:p w14:paraId="1E2CA48A" w14:textId="77777777" w:rsidR="00827A29" w:rsidRPr="00827A29" w:rsidRDefault="00827A29" w:rsidP="004908D5">
      <w:pPr>
        <w:ind w:left="709" w:hanging="709"/>
      </w:pPr>
    </w:p>
    <w:p w14:paraId="31B0F89B" w14:textId="77777777" w:rsidR="00827A29" w:rsidRPr="00827A29" w:rsidRDefault="00827A29" w:rsidP="004908D5">
      <w:pPr>
        <w:ind w:left="709" w:hanging="709"/>
      </w:pPr>
      <w:r w:rsidRPr="00827A29">
        <w:t xml:space="preserve">Faludi, S., Shames, S., Piscopo, J. M., &amp; Walsh, D. M. (2020). A Conversation with Susan Faludi on Backlash, Trumpism, and #MeToo. </w:t>
      </w:r>
      <w:r w:rsidRPr="00827A29">
        <w:rPr>
          <w:i/>
          <w:iCs/>
        </w:rPr>
        <w:t>Signs: Journal of Women in Culture and Society</w:t>
      </w:r>
      <w:r w:rsidRPr="00827A29">
        <w:t>, 45(2), 336–345. https://doi.org/10.1086/704988</w:t>
      </w:r>
    </w:p>
    <w:p w14:paraId="6D3E2E2B" w14:textId="77777777" w:rsidR="00827A29" w:rsidRPr="00827A29" w:rsidRDefault="00827A29" w:rsidP="004908D5">
      <w:pPr>
        <w:ind w:left="709" w:hanging="709"/>
      </w:pPr>
    </w:p>
    <w:p w14:paraId="057E1BFD" w14:textId="3FF0E220" w:rsidR="00827A29" w:rsidRPr="00827A29" w:rsidRDefault="00827A29" w:rsidP="004908D5">
      <w:pPr>
        <w:ind w:left="709" w:hanging="709"/>
      </w:pPr>
      <w:r w:rsidRPr="00827A29">
        <w:t>Gallego, C. and Romero, M. V. (2019) S</w:t>
      </w:r>
      <w:r w:rsidRPr="00827A29">
        <w:rPr>
          <w:i/>
          <w:iCs/>
        </w:rPr>
        <w:t>istematización del ataque al currículo nacional de la educación básica: seguimiento a la campaña ‘Con mis hijos no te metas’ en el Perú (2016-2017)</w:t>
      </w:r>
      <w:r w:rsidRPr="00827A29">
        <w:t xml:space="preserve">, Lima: PROMSEX. </w:t>
      </w:r>
    </w:p>
    <w:p w14:paraId="52046FD5" w14:textId="77777777" w:rsidR="00827A29" w:rsidRPr="00827A29" w:rsidRDefault="00827A29" w:rsidP="004908D5">
      <w:pPr>
        <w:ind w:left="709" w:hanging="709"/>
      </w:pPr>
    </w:p>
    <w:p w14:paraId="0F431DB1" w14:textId="77777777" w:rsidR="00827A29" w:rsidRPr="00827A29" w:rsidRDefault="00827A29" w:rsidP="004908D5">
      <w:pPr>
        <w:ind w:left="709" w:hanging="709"/>
      </w:pPr>
      <w:r w:rsidRPr="00827A29">
        <w:t xml:space="preserve">Goetz, A. M. (2019). The politics of preserving gender inequality: De-institutionalisation and re-privatisation. </w:t>
      </w:r>
      <w:r w:rsidRPr="00827A29">
        <w:rPr>
          <w:i/>
          <w:iCs/>
        </w:rPr>
        <w:t>Oxford Development Studies</w:t>
      </w:r>
      <w:r w:rsidRPr="00827A29">
        <w:t>. https://doi.org/10.1080/13600818.2019.1672144</w:t>
      </w:r>
    </w:p>
    <w:p w14:paraId="1CD6C494" w14:textId="77777777" w:rsidR="00827A29" w:rsidRPr="00827A29" w:rsidRDefault="00827A29" w:rsidP="004908D5">
      <w:pPr>
        <w:ind w:left="709" w:hanging="709"/>
      </w:pPr>
    </w:p>
    <w:p w14:paraId="49E7BED0" w14:textId="77777777" w:rsidR="00827A29" w:rsidRDefault="00827A29" w:rsidP="004908D5">
      <w:pPr>
        <w:ind w:left="709" w:hanging="709"/>
      </w:pPr>
      <w:r w:rsidRPr="00827A29">
        <w:t>Htun, M. and Weldon, S. L. (2010) When Do Governments Promote Women’s Rights? A</w:t>
      </w:r>
      <w:r>
        <w:t xml:space="preserve"> </w:t>
      </w:r>
      <w:r w:rsidRPr="00827A29">
        <w:t xml:space="preserve">Framework for the Comparative Analysis of Sex Equality Policy, </w:t>
      </w:r>
      <w:r w:rsidRPr="00827A29">
        <w:rPr>
          <w:i/>
          <w:iCs/>
        </w:rPr>
        <w:t>Perspectives on Politics</w:t>
      </w:r>
      <w:r w:rsidRPr="00827A29">
        <w:t>,</w:t>
      </w:r>
      <w:r>
        <w:t xml:space="preserve"> </w:t>
      </w:r>
      <w:r w:rsidRPr="00827A29">
        <w:t>8(1): 207–216, doi:10.1017/S1537592709992787</w:t>
      </w:r>
      <w:r>
        <w:t xml:space="preserve"> </w:t>
      </w:r>
    </w:p>
    <w:p w14:paraId="6526082A" w14:textId="77777777" w:rsidR="00827A29" w:rsidRDefault="00827A29" w:rsidP="004908D5">
      <w:pPr>
        <w:ind w:left="709" w:hanging="709"/>
      </w:pPr>
    </w:p>
    <w:p w14:paraId="177E74E4" w14:textId="5A901943" w:rsidR="00827A29" w:rsidRPr="00827A29" w:rsidRDefault="00827A29" w:rsidP="004908D5">
      <w:pPr>
        <w:ind w:left="709" w:hanging="709"/>
      </w:pPr>
      <w:r w:rsidRPr="00827A29">
        <w:t xml:space="preserve">Jordan, A. (2016). Conceptualizing Backlash: (UK) men’s rights groups, anti-feminism, and postfeminism. </w:t>
      </w:r>
      <w:r w:rsidRPr="00827A29">
        <w:rPr>
          <w:i/>
          <w:iCs/>
        </w:rPr>
        <w:t>Canadian Journal of Women and the Law</w:t>
      </w:r>
      <w:r w:rsidRPr="00827A29">
        <w:t xml:space="preserve">, 28(1), 18–44. https://doi.org/10.3138/cjwl.28.1.18 </w:t>
      </w:r>
    </w:p>
    <w:p w14:paraId="69571AE1" w14:textId="77777777" w:rsidR="00827A29" w:rsidRPr="00827A29" w:rsidRDefault="00827A29" w:rsidP="004908D5">
      <w:pPr>
        <w:ind w:left="709" w:hanging="709"/>
      </w:pPr>
    </w:p>
    <w:p w14:paraId="4DAF1197" w14:textId="77777777" w:rsidR="00827A29" w:rsidRPr="00827A29" w:rsidRDefault="00827A29" w:rsidP="004908D5">
      <w:pPr>
        <w:ind w:left="709" w:hanging="709"/>
      </w:pPr>
      <w:r w:rsidRPr="00827A29">
        <w:t xml:space="preserve">Kováts, E. (2018) Questioning consensuses: Right-wing populism, anti-populism, and the threat of ‘gender ideology’, </w:t>
      </w:r>
      <w:r w:rsidRPr="00827A29">
        <w:rPr>
          <w:i/>
          <w:iCs/>
        </w:rPr>
        <w:t>Sociological Research Online</w:t>
      </w:r>
      <w:r w:rsidRPr="00827A29">
        <w:t xml:space="preserve">, 23(2): 528-538, https://doi.org/10.1177/1360780418764735 </w:t>
      </w:r>
    </w:p>
    <w:p w14:paraId="50429E41" w14:textId="77777777" w:rsidR="00827A29" w:rsidRPr="00827A29" w:rsidRDefault="00827A29" w:rsidP="004908D5">
      <w:pPr>
        <w:ind w:left="709" w:hanging="709"/>
      </w:pPr>
    </w:p>
    <w:p w14:paraId="26BDF9A2" w14:textId="77777777" w:rsidR="00827A29" w:rsidRPr="00827A29" w:rsidRDefault="00827A29" w:rsidP="004908D5">
      <w:pPr>
        <w:ind w:left="709" w:hanging="709"/>
      </w:pPr>
      <w:r w:rsidRPr="00827A29">
        <w:t xml:space="preserve">Krizsan, A., &amp; Roggeband, C. (2018). Towards a conceptual framework for struggles over democracy in backsliding states: Gender equality policy in Central Eastern Europe. </w:t>
      </w:r>
      <w:r w:rsidRPr="00827A29">
        <w:rPr>
          <w:i/>
          <w:iCs/>
        </w:rPr>
        <w:t>Politics and Governance</w:t>
      </w:r>
      <w:r w:rsidRPr="00827A29">
        <w:t xml:space="preserve">, 6(3), 90–100. https://doi.org/10.17645/pag.v6i3.1414 </w:t>
      </w:r>
    </w:p>
    <w:p w14:paraId="611E8368" w14:textId="77777777" w:rsidR="00827A29" w:rsidRPr="00827A29" w:rsidRDefault="00827A29" w:rsidP="004908D5">
      <w:pPr>
        <w:ind w:left="709" w:hanging="709"/>
      </w:pPr>
    </w:p>
    <w:p w14:paraId="6AA41887" w14:textId="77777777" w:rsidR="00827A29" w:rsidRPr="00827A29" w:rsidRDefault="00827A29" w:rsidP="004908D5">
      <w:pPr>
        <w:ind w:left="709" w:hanging="709"/>
      </w:pPr>
      <w:r w:rsidRPr="00827A29">
        <w:t xml:space="preserve">Mansbridge, J., &amp; Shames, S. L. (2008). Toward a Theory of Backlash: Dynamic Resistance and the Central Role of Power. </w:t>
      </w:r>
      <w:r w:rsidRPr="00827A29">
        <w:rPr>
          <w:i/>
          <w:iCs/>
        </w:rPr>
        <w:t>Politics &amp; Gender</w:t>
      </w:r>
      <w:r w:rsidRPr="00827A29">
        <w:t xml:space="preserve">, 4(4), 623–634. https://doi.org/10.1017/S1743923X08000500 </w:t>
      </w:r>
    </w:p>
    <w:p w14:paraId="344DD487" w14:textId="77777777" w:rsidR="00827A29" w:rsidRPr="00827A29" w:rsidRDefault="00827A29" w:rsidP="004908D5">
      <w:pPr>
        <w:ind w:left="709" w:hanging="709"/>
      </w:pPr>
    </w:p>
    <w:p w14:paraId="0DD9752C" w14:textId="776313DC" w:rsidR="00827A29" w:rsidRPr="00827A29" w:rsidRDefault="00827A29" w:rsidP="004908D5">
      <w:pPr>
        <w:ind w:left="709" w:hanging="709"/>
      </w:pPr>
      <w:r w:rsidRPr="00827A29">
        <w:lastRenderedPageBreak/>
        <w:t xml:space="preserve">McAdam, D., Tarrow, S. G. and Tilly, C. (2001) </w:t>
      </w:r>
      <w:r w:rsidRPr="00827A29">
        <w:rPr>
          <w:i/>
          <w:iCs/>
        </w:rPr>
        <w:t>Dynamics of Contention</w:t>
      </w:r>
      <w:r w:rsidRPr="00827A29">
        <w:t>, Cambridge: Cambridge</w:t>
      </w:r>
      <w:r>
        <w:t xml:space="preserve"> </w:t>
      </w:r>
      <w:r w:rsidRPr="00827A29">
        <w:t>University Press</w:t>
      </w:r>
    </w:p>
    <w:p w14:paraId="6A70C0B2" w14:textId="0F80EE36" w:rsidR="00827A29" w:rsidRPr="00827A29" w:rsidRDefault="00827A29" w:rsidP="004908D5">
      <w:pPr>
        <w:ind w:left="709" w:hanging="709"/>
      </w:pPr>
    </w:p>
    <w:p w14:paraId="76993A41" w14:textId="77777777" w:rsidR="00827A29" w:rsidRPr="00827A29" w:rsidRDefault="00827A29" w:rsidP="004908D5">
      <w:pPr>
        <w:ind w:left="709" w:hanging="709"/>
      </w:pPr>
      <w:r w:rsidRPr="00827A29">
        <w:t>Meyer, D. S. and Staggenborg, S. (1996) Movements, Countermovements, and the Structure of</w:t>
      </w:r>
      <w:r>
        <w:t xml:space="preserve"> </w:t>
      </w:r>
      <w:r w:rsidRPr="00827A29">
        <w:t xml:space="preserve">Political Opportunity, </w:t>
      </w:r>
      <w:r w:rsidRPr="00827A29">
        <w:rPr>
          <w:i/>
          <w:iCs/>
        </w:rPr>
        <w:t>American Journal of Sociology</w:t>
      </w:r>
      <w:r w:rsidRPr="00827A29">
        <w:t>, 101(6): 1628–1660,</w:t>
      </w:r>
      <w:r>
        <w:t xml:space="preserve"> </w:t>
      </w:r>
      <w:r w:rsidRPr="00827A29">
        <w:t>doi:10.1086/230869</w:t>
      </w:r>
    </w:p>
    <w:p w14:paraId="6F5CC540" w14:textId="77777777" w:rsidR="00827A29" w:rsidRPr="00827A29" w:rsidRDefault="00827A29" w:rsidP="004908D5">
      <w:pPr>
        <w:ind w:left="709" w:hanging="709"/>
      </w:pPr>
    </w:p>
    <w:p w14:paraId="683342B0" w14:textId="2F32D72A" w:rsidR="00827A29" w:rsidRPr="00827A29" w:rsidRDefault="00827A29" w:rsidP="004908D5">
      <w:pPr>
        <w:ind w:left="709" w:hanging="709"/>
      </w:pPr>
      <w:r w:rsidRPr="00827A29">
        <w:t>Meneses, D. (2019) Con Mis Hijos No Te Metas: a study of discourse and power in a Peruvian</w:t>
      </w:r>
      <w:r>
        <w:t xml:space="preserve"> </w:t>
      </w:r>
      <w:r w:rsidRPr="00827A29">
        <w:t xml:space="preserve">Facebook group opposing “gender idologogy”, </w:t>
      </w:r>
      <w:r w:rsidRPr="00827A29">
        <w:rPr>
          <w:i/>
          <w:iCs/>
        </w:rPr>
        <w:t>Anthropologica</w:t>
      </w:r>
      <w:r w:rsidRPr="00827A29">
        <w:t>, 37(42): 129-154</w:t>
      </w:r>
    </w:p>
    <w:p w14:paraId="550808FB" w14:textId="77777777" w:rsidR="00827A29" w:rsidRPr="00827A29" w:rsidRDefault="00827A29" w:rsidP="004908D5">
      <w:pPr>
        <w:ind w:left="709" w:hanging="709"/>
      </w:pPr>
    </w:p>
    <w:p w14:paraId="11923A13" w14:textId="77777777" w:rsidR="00827A29" w:rsidRPr="00827A29" w:rsidRDefault="00827A29" w:rsidP="004908D5">
      <w:pPr>
        <w:ind w:left="709" w:hanging="709"/>
        <w:rPr>
          <w:lang w:val="es-ES"/>
        </w:rPr>
      </w:pPr>
      <w:r w:rsidRPr="00827A29">
        <w:t xml:space="preserve">Motta, A. and Amat y León, O. (2018) Perú. </w:t>
      </w:r>
      <w:r w:rsidRPr="00827A29">
        <w:rPr>
          <w:lang w:val="es-ES"/>
        </w:rPr>
        <w:t xml:space="preserve">“Ideología de género”: fundamentalismos y retóricas de miedo, in A. C. González Vélez, L. Castro, C. Burneo, A. Motta, and O. Amat y León, </w:t>
      </w:r>
      <w:r w:rsidRPr="00827A29">
        <w:rPr>
          <w:i/>
          <w:iCs/>
          <w:lang w:val="es-ES"/>
        </w:rPr>
        <w:t>Develando la retórica del miedo de los fundamentalismos. La campaña ‘Con Mis Hijos No Te Metas’ en Colombia, Ecuador y Perú</w:t>
      </w:r>
      <w:r w:rsidRPr="00827A29">
        <w:rPr>
          <w:lang w:val="es-ES"/>
        </w:rPr>
        <w:t xml:space="preserve">, Lima: CMP Flora Tristán. </w:t>
      </w:r>
    </w:p>
    <w:p w14:paraId="31CAB71B" w14:textId="77777777" w:rsidR="00827A29" w:rsidRPr="00827A29" w:rsidRDefault="00827A29" w:rsidP="004908D5">
      <w:pPr>
        <w:ind w:left="709" w:hanging="709"/>
        <w:rPr>
          <w:lang w:val="es-ES"/>
        </w:rPr>
      </w:pPr>
    </w:p>
    <w:p w14:paraId="6C6E42A8" w14:textId="0460079B" w:rsidR="00827A29" w:rsidRPr="00827A29" w:rsidRDefault="00827A29" w:rsidP="004908D5">
      <w:pPr>
        <w:ind w:left="709" w:hanging="709"/>
        <w:rPr>
          <w:lang w:val="es-ES"/>
        </w:rPr>
      </w:pPr>
      <w:r w:rsidRPr="00827A29">
        <w:rPr>
          <w:lang w:val="es-ES"/>
        </w:rPr>
        <w:t xml:space="preserve">Muñoz, F. (2006) Caminos cruzados: género en las políticas educativas en el Perú en los últimos diez años, </w:t>
      </w:r>
      <w:r w:rsidRPr="00827A29">
        <w:rPr>
          <w:i/>
          <w:iCs/>
          <w:lang w:val="es-ES"/>
        </w:rPr>
        <w:t>Educacao e Sociedade</w:t>
      </w:r>
      <w:r w:rsidRPr="00827A29">
        <w:rPr>
          <w:lang w:val="es-ES"/>
        </w:rPr>
        <w:t>, 27(95): 385-406, doi:10.1590/S0101-73302006000200004</w:t>
      </w:r>
    </w:p>
    <w:p w14:paraId="304D7235" w14:textId="77777777" w:rsidR="00827A29" w:rsidRPr="00827A29" w:rsidRDefault="00827A29" w:rsidP="004908D5"/>
    <w:p w14:paraId="5D001001" w14:textId="77777777" w:rsidR="00827A29" w:rsidRPr="00827A29" w:rsidRDefault="00827A29" w:rsidP="004908D5">
      <w:pPr>
        <w:ind w:left="709" w:hanging="709"/>
      </w:pPr>
      <w:r w:rsidRPr="00827A29">
        <w:t xml:space="preserve">Paternotte, D., &amp; Kuhar, R. (2018). Disentangling and locating the “global right”: Anti-gender campaigns in Europe. </w:t>
      </w:r>
      <w:r w:rsidRPr="00827A29">
        <w:rPr>
          <w:i/>
          <w:iCs/>
        </w:rPr>
        <w:t>Politics and Governance</w:t>
      </w:r>
      <w:r w:rsidRPr="00827A29">
        <w:t xml:space="preserve">, 6(3), 6–19. https://doi.org/10.17645/pag.v6i3.1557 </w:t>
      </w:r>
    </w:p>
    <w:p w14:paraId="6672E2A2" w14:textId="77777777" w:rsidR="00827A29" w:rsidRPr="00827A29" w:rsidRDefault="00827A29" w:rsidP="004908D5">
      <w:pPr>
        <w:ind w:left="709" w:hanging="709"/>
      </w:pPr>
    </w:p>
    <w:p w14:paraId="606D4CBF" w14:textId="77777777" w:rsidR="00827A29" w:rsidRPr="00827A29" w:rsidRDefault="00827A29" w:rsidP="004908D5">
      <w:pPr>
        <w:ind w:left="709" w:hanging="709"/>
      </w:pPr>
      <w:r w:rsidRPr="00827A29">
        <w:t xml:space="preserve">Piscopo, J. M. (2017). </w:t>
      </w:r>
      <w:r w:rsidRPr="00827A29">
        <w:rPr>
          <w:i/>
          <w:iCs/>
        </w:rPr>
        <w:t>Defining and Capturing Opposition, Backlash, Resistance, and Violence</w:t>
      </w:r>
      <w:r w:rsidRPr="00827A29">
        <w:t xml:space="preserve"> [Paper presented at the Feminist Research Seminar, October 19–22]. University of Michigan. Retrieved from: https://pvi.virginia.edu/wp-content/uploads/2018/08/Piscopo-FRS-white-paper.pdf (accessed 25 January 2020)</w:t>
      </w:r>
    </w:p>
    <w:p w14:paraId="5C262ACE" w14:textId="77777777" w:rsidR="00827A29" w:rsidRPr="00827A29" w:rsidRDefault="00827A29" w:rsidP="004908D5">
      <w:pPr>
        <w:ind w:left="709" w:hanging="709"/>
      </w:pPr>
    </w:p>
    <w:p w14:paraId="3F44FE7F" w14:textId="77777777" w:rsidR="00827A29" w:rsidRPr="00827A29" w:rsidRDefault="00827A29" w:rsidP="004908D5">
      <w:pPr>
        <w:ind w:left="709" w:hanging="709"/>
      </w:pPr>
      <w:r w:rsidRPr="00827A29">
        <w:t xml:space="preserve">Piscopo, J. M., &amp; Walsh, D. M. (2020). Introduction. Symposium Backlash and the Future of Feminism. </w:t>
      </w:r>
      <w:r w:rsidRPr="00827A29">
        <w:rPr>
          <w:i/>
          <w:iCs/>
        </w:rPr>
        <w:t>Signs: Journal of Women in Culture and Society,</w:t>
      </w:r>
      <w:r w:rsidRPr="00827A29">
        <w:t xml:space="preserve"> 45(2), 265–278. https://doi.org/10.1086/704950 </w:t>
      </w:r>
    </w:p>
    <w:p w14:paraId="54E429EC" w14:textId="77777777" w:rsidR="00827A29" w:rsidRPr="00827A29" w:rsidRDefault="00827A29" w:rsidP="004908D5">
      <w:pPr>
        <w:ind w:left="709" w:hanging="709"/>
      </w:pPr>
    </w:p>
    <w:p w14:paraId="50293021" w14:textId="77777777" w:rsidR="00827A29" w:rsidRPr="00827A29" w:rsidRDefault="00827A29" w:rsidP="004908D5">
      <w:pPr>
        <w:ind w:left="709" w:hanging="709"/>
      </w:pPr>
      <w:r w:rsidRPr="00827A29">
        <w:t xml:space="preserve">Sen, Vallejo, &amp; Walsh (2017). </w:t>
      </w:r>
      <w:r w:rsidRPr="00827A29">
        <w:rPr>
          <w:i/>
          <w:iCs/>
        </w:rPr>
        <w:t xml:space="preserve">Opposition to Women’s Participation in Politics and Civil Society </w:t>
      </w:r>
      <w:r w:rsidRPr="00827A29">
        <w:t>[Paper presented at the Feminist Research Seminar, October 19–22]. Univesity of Michigan. Retrieved from: https://pvi.virginia.edu/wp-content/uploads/2018/08/Sen-Vallejo-and-Walsh.pdf (accessed 25 January 2020)</w:t>
      </w:r>
    </w:p>
    <w:p w14:paraId="57284352" w14:textId="77777777" w:rsidR="00827A29" w:rsidRPr="00827A29" w:rsidRDefault="00827A29" w:rsidP="004908D5">
      <w:pPr>
        <w:ind w:left="709" w:hanging="709"/>
      </w:pPr>
    </w:p>
    <w:p w14:paraId="3EAB78C1" w14:textId="77777777" w:rsidR="00827A29" w:rsidRPr="00827A29" w:rsidRDefault="00827A29" w:rsidP="004908D5">
      <w:pPr>
        <w:ind w:left="709" w:hanging="709"/>
        <w:rPr>
          <w:lang w:val="es-ES"/>
        </w:rPr>
      </w:pPr>
      <w:r w:rsidRPr="00827A29">
        <w:rPr>
          <w:lang w:val="es-ES"/>
        </w:rPr>
        <w:t xml:space="preserve">Serrano, J. F. (2017) La tormenta perfecta: Ideología de género y articulación de públicos, </w:t>
      </w:r>
      <w:r w:rsidRPr="00827A29">
        <w:rPr>
          <w:i/>
          <w:iCs/>
          <w:lang w:val="es-ES"/>
        </w:rPr>
        <w:t>Sexualidad, Salud y Sociedad - Revista Latinoamericana</w:t>
      </w:r>
      <w:r w:rsidRPr="00827A29">
        <w:rPr>
          <w:lang w:val="es-ES"/>
        </w:rPr>
        <w:t>, 27: 149–171</w:t>
      </w:r>
    </w:p>
    <w:p w14:paraId="53446764" w14:textId="77777777" w:rsidR="00827A29" w:rsidRPr="00827A29" w:rsidRDefault="00827A29" w:rsidP="004908D5">
      <w:pPr>
        <w:ind w:left="709" w:hanging="709"/>
        <w:rPr>
          <w:lang w:val="es-ES"/>
        </w:rPr>
      </w:pPr>
    </w:p>
    <w:p w14:paraId="023F5B06" w14:textId="77777777" w:rsidR="00827A29" w:rsidRPr="00827A29" w:rsidRDefault="00827A29" w:rsidP="004908D5">
      <w:pPr>
        <w:ind w:left="709" w:hanging="709"/>
      </w:pPr>
      <w:r w:rsidRPr="00827A29">
        <w:t xml:space="preserve">Sweetman, C. (2017). Introduction: Gender, development and fundamentalisms. </w:t>
      </w:r>
      <w:r w:rsidRPr="00827A29">
        <w:rPr>
          <w:i/>
          <w:iCs/>
        </w:rPr>
        <w:t>Gender and Development</w:t>
      </w:r>
      <w:r w:rsidRPr="00827A29">
        <w:t xml:space="preserve">, 25(1), 1–14. https://doi.org/10.1080/13552074.2017.1304063 </w:t>
      </w:r>
    </w:p>
    <w:p w14:paraId="539393AD" w14:textId="77777777" w:rsidR="00827A29" w:rsidRPr="00827A29" w:rsidRDefault="00827A29" w:rsidP="004908D5">
      <w:pPr>
        <w:ind w:left="709" w:hanging="709"/>
      </w:pPr>
    </w:p>
    <w:p w14:paraId="5F952AEA" w14:textId="77777777" w:rsidR="00827A29" w:rsidRPr="00827A29" w:rsidRDefault="00827A29" w:rsidP="004908D5">
      <w:pPr>
        <w:ind w:left="709" w:hanging="709"/>
      </w:pPr>
      <w:r w:rsidRPr="00827A29">
        <w:t xml:space="preserve">Thomson, J. (2018) ‘Resisting gendered change: Feminist institutionalism and critical actors’, </w:t>
      </w:r>
      <w:r w:rsidRPr="00827A29">
        <w:rPr>
          <w:i/>
          <w:iCs/>
        </w:rPr>
        <w:t>International Political Science Review</w:t>
      </w:r>
      <w:r w:rsidRPr="00827A29">
        <w:t>, 39(2): 178–191</w:t>
      </w:r>
    </w:p>
    <w:p w14:paraId="789C4665" w14:textId="77777777" w:rsidR="00827A29" w:rsidRPr="00827A29" w:rsidRDefault="00827A29" w:rsidP="004908D5">
      <w:pPr>
        <w:ind w:left="709" w:hanging="709"/>
      </w:pPr>
    </w:p>
    <w:p w14:paraId="1E458668" w14:textId="77777777" w:rsidR="00827A29" w:rsidRPr="00827A29" w:rsidRDefault="00827A29" w:rsidP="004908D5">
      <w:pPr>
        <w:ind w:left="709" w:hanging="709"/>
      </w:pPr>
      <w:r w:rsidRPr="00827A29">
        <w:lastRenderedPageBreak/>
        <w:t xml:space="preserve">Vaggione, J. M. (2008) </w:t>
      </w:r>
      <w:r w:rsidRPr="00827A29">
        <w:rPr>
          <w:i/>
          <w:iCs/>
        </w:rPr>
        <w:t>Shared Insights: Women’s rights activists define religious fundamentalisms</w:t>
      </w:r>
      <w:r w:rsidRPr="00827A29">
        <w:t>, Toronto: Association for Women's Rights in Development. Retrieved from: https://www.awid.org/publications/shared-insights-womens-rights-activists-define-religious-fundamentalisms (accessed 12 July 2020)</w:t>
      </w:r>
    </w:p>
    <w:p w14:paraId="100585BB" w14:textId="77777777" w:rsidR="00827A29" w:rsidRPr="00827A29" w:rsidRDefault="00827A29" w:rsidP="004908D5"/>
    <w:p w14:paraId="3EE804F1" w14:textId="77777777" w:rsidR="00827A29" w:rsidRPr="00827A29" w:rsidRDefault="00827A29" w:rsidP="004908D5">
      <w:pPr>
        <w:ind w:left="709" w:hanging="709"/>
      </w:pPr>
      <w:r w:rsidRPr="00827A29">
        <w:t xml:space="preserve">Verloo, M., &amp; Paternotte, D. (2018). The feminist project under threat in Europe. </w:t>
      </w:r>
      <w:r w:rsidRPr="00827A29">
        <w:rPr>
          <w:i/>
          <w:iCs/>
        </w:rPr>
        <w:t>Politics and Governance</w:t>
      </w:r>
      <w:r w:rsidRPr="00827A29">
        <w:t xml:space="preserve">, 6(3), 1–5. https://doi.org/10.17645/pag.v6i3.1736 </w:t>
      </w:r>
    </w:p>
    <w:p w14:paraId="7BDAC5B6" w14:textId="77777777" w:rsidR="00C17602" w:rsidRPr="00C17602" w:rsidRDefault="00C17602" w:rsidP="004908D5">
      <w:pPr>
        <w:ind w:left="709" w:hanging="709"/>
      </w:pPr>
    </w:p>
    <w:p w14:paraId="0E964CA1" w14:textId="77777777" w:rsidR="00C17602" w:rsidRPr="0013021D" w:rsidRDefault="00C17602" w:rsidP="004908D5"/>
    <w:sectPr w:rsidR="00C17602" w:rsidRPr="0013021D">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9800E" w14:textId="77777777" w:rsidR="00647D70" w:rsidRDefault="00647D70" w:rsidP="004908D5">
      <w:r>
        <w:separator/>
      </w:r>
    </w:p>
  </w:endnote>
  <w:endnote w:type="continuationSeparator" w:id="0">
    <w:p w14:paraId="52973B1D" w14:textId="77777777" w:rsidR="00647D70" w:rsidRDefault="00647D70" w:rsidP="004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40851696"/>
      <w:docPartObj>
        <w:docPartGallery w:val="Page Numbers (Bottom of Page)"/>
        <w:docPartUnique/>
      </w:docPartObj>
    </w:sdtPr>
    <w:sdtEndPr>
      <w:rPr>
        <w:rStyle w:val="PageNumber"/>
      </w:rPr>
    </w:sdtEndPr>
    <w:sdtContent>
      <w:p w14:paraId="0C531B7F" w14:textId="5B2BDD38" w:rsidR="004908D5" w:rsidRDefault="004908D5" w:rsidP="007B5C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E72A6B" w14:textId="77777777" w:rsidR="004908D5" w:rsidRDefault="004908D5" w:rsidP="004908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5129523"/>
      <w:docPartObj>
        <w:docPartGallery w:val="Page Numbers (Bottom of Page)"/>
        <w:docPartUnique/>
      </w:docPartObj>
    </w:sdtPr>
    <w:sdtEndPr>
      <w:rPr>
        <w:rStyle w:val="PageNumber"/>
      </w:rPr>
    </w:sdtEndPr>
    <w:sdtContent>
      <w:p w14:paraId="02D2D368" w14:textId="66B5F0F3" w:rsidR="004908D5" w:rsidRDefault="004908D5" w:rsidP="007B5C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E77EE">
          <w:rPr>
            <w:rStyle w:val="PageNumber"/>
            <w:noProof/>
          </w:rPr>
          <w:t>2</w:t>
        </w:r>
        <w:r>
          <w:rPr>
            <w:rStyle w:val="PageNumber"/>
          </w:rPr>
          <w:fldChar w:fldCharType="end"/>
        </w:r>
      </w:p>
    </w:sdtContent>
  </w:sdt>
  <w:p w14:paraId="6BF3CB80" w14:textId="77777777" w:rsidR="004908D5" w:rsidRDefault="004908D5" w:rsidP="004908D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D2BF7" w14:textId="77777777" w:rsidR="00647D70" w:rsidRDefault="00647D70" w:rsidP="004908D5">
      <w:r>
        <w:separator/>
      </w:r>
    </w:p>
  </w:footnote>
  <w:footnote w:type="continuationSeparator" w:id="0">
    <w:p w14:paraId="2AD7E3F5" w14:textId="77777777" w:rsidR="00647D70" w:rsidRDefault="00647D70" w:rsidP="004908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B3569"/>
    <w:multiLevelType w:val="hybridMultilevel"/>
    <w:tmpl w:val="6F1AAF4C"/>
    <w:lvl w:ilvl="0" w:tplc="040A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3E6F0B"/>
    <w:multiLevelType w:val="hybridMultilevel"/>
    <w:tmpl w:val="7AA219D8"/>
    <w:lvl w:ilvl="0" w:tplc="C944B92E">
      <w:start w:val="1"/>
      <w:numFmt w:val="bullet"/>
      <w:lvlText w:val="´"/>
      <w:lvlJc w:val="left"/>
      <w:pPr>
        <w:tabs>
          <w:tab w:val="num" w:pos="720"/>
        </w:tabs>
        <w:ind w:left="720" w:hanging="360"/>
      </w:pPr>
      <w:rPr>
        <w:rFonts w:ascii="Wingdings 3" w:hAnsi="Wingdings 3" w:hint="default"/>
      </w:rPr>
    </w:lvl>
    <w:lvl w:ilvl="1" w:tplc="CD2CD008">
      <w:start w:val="1"/>
      <w:numFmt w:val="bullet"/>
      <w:lvlText w:val="´"/>
      <w:lvlJc w:val="left"/>
      <w:pPr>
        <w:tabs>
          <w:tab w:val="num" w:pos="1440"/>
        </w:tabs>
        <w:ind w:left="1440" w:hanging="360"/>
      </w:pPr>
      <w:rPr>
        <w:rFonts w:ascii="Wingdings 3" w:hAnsi="Wingdings 3" w:hint="default"/>
      </w:rPr>
    </w:lvl>
    <w:lvl w:ilvl="2" w:tplc="4C583CDA" w:tentative="1">
      <w:start w:val="1"/>
      <w:numFmt w:val="bullet"/>
      <w:lvlText w:val="´"/>
      <w:lvlJc w:val="left"/>
      <w:pPr>
        <w:tabs>
          <w:tab w:val="num" w:pos="2160"/>
        </w:tabs>
        <w:ind w:left="2160" w:hanging="360"/>
      </w:pPr>
      <w:rPr>
        <w:rFonts w:ascii="Wingdings 3" w:hAnsi="Wingdings 3" w:hint="default"/>
      </w:rPr>
    </w:lvl>
    <w:lvl w:ilvl="3" w:tplc="E4CAD3DE" w:tentative="1">
      <w:start w:val="1"/>
      <w:numFmt w:val="bullet"/>
      <w:lvlText w:val="´"/>
      <w:lvlJc w:val="left"/>
      <w:pPr>
        <w:tabs>
          <w:tab w:val="num" w:pos="2880"/>
        </w:tabs>
        <w:ind w:left="2880" w:hanging="360"/>
      </w:pPr>
      <w:rPr>
        <w:rFonts w:ascii="Wingdings 3" w:hAnsi="Wingdings 3" w:hint="default"/>
      </w:rPr>
    </w:lvl>
    <w:lvl w:ilvl="4" w:tplc="82CC4A46" w:tentative="1">
      <w:start w:val="1"/>
      <w:numFmt w:val="bullet"/>
      <w:lvlText w:val="´"/>
      <w:lvlJc w:val="left"/>
      <w:pPr>
        <w:tabs>
          <w:tab w:val="num" w:pos="3600"/>
        </w:tabs>
        <w:ind w:left="3600" w:hanging="360"/>
      </w:pPr>
      <w:rPr>
        <w:rFonts w:ascii="Wingdings 3" w:hAnsi="Wingdings 3" w:hint="default"/>
      </w:rPr>
    </w:lvl>
    <w:lvl w:ilvl="5" w:tplc="C9880E9A" w:tentative="1">
      <w:start w:val="1"/>
      <w:numFmt w:val="bullet"/>
      <w:lvlText w:val="´"/>
      <w:lvlJc w:val="left"/>
      <w:pPr>
        <w:tabs>
          <w:tab w:val="num" w:pos="4320"/>
        </w:tabs>
        <w:ind w:left="4320" w:hanging="360"/>
      </w:pPr>
      <w:rPr>
        <w:rFonts w:ascii="Wingdings 3" w:hAnsi="Wingdings 3" w:hint="default"/>
      </w:rPr>
    </w:lvl>
    <w:lvl w:ilvl="6" w:tplc="8BE2BEA0" w:tentative="1">
      <w:start w:val="1"/>
      <w:numFmt w:val="bullet"/>
      <w:lvlText w:val="´"/>
      <w:lvlJc w:val="left"/>
      <w:pPr>
        <w:tabs>
          <w:tab w:val="num" w:pos="5040"/>
        </w:tabs>
        <w:ind w:left="5040" w:hanging="360"/>
      </w:pPr>
      <w:rPr>
        <w:rFonts w:ascii="Wingdings 3" w:hAnsi="Wingdings 3" w:hint="default"/>
      </w:rPr>
    </w:lvl>
    <w:lvl w:ilvl="7" w:tplc="AF26C2AE" w:tentative="1">
      <w:start w:val="1"/>
      <w:numFmt w:val="bullet"/>
      <w:lvlText w:val="´"/>
      <w:lvlJc w:val="left"/>
      <w:pPr>
        <w:tabs>
          <w:tab w:val="num" w:pos="5760"/>
        </w:tabs>
        <w:ind w:left="5760" w:hanging="360"/>
      </w:pPr>
      <w:rPr>
        <w:rFonts w:ascii="Wingdings 3" w:hAnsi="Wingdings 3" w:hint="default"/>
      </w:rPr>
    </w:lvl>
    <w:lvl w:ilvl="8" w:tplc="267CC26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355074ED"/>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DD2BD3"/>
    <w:multiLevelType w:val="hybridMultilevel"/>
    <w:tmpl w:val="A56CC33A"/>
    <w:lvl w:ilvl="0" w:tplc="775092D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920A02"/>
    <w:multiLevelType w:val="hybridMultilevel"/>
    <w:tmpl w:val="C31224E4"/>
    <w:lvl w:ilvl="0" w:tplc="3FAE4B3C">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77167"/>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CB1A66"/>
    <w:multiLevelType w:val="hybridMultilevel"/>
    <w:tmpl w:val="05FE2EF6"/>
    <w:lvl w:ilvl="0" w:tplc="040A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1C1F89"/>
    <w:multiLevelType w:val="hybridMultilevel"/>
    <w:tmpl w:val="C31224E4"/>
    <w:lvl w:ilvl="0" w:tplc="3FAE4B3C">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47431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8E5EE2"/>
    <w:multiLevelType w:val="hybridMultilevel"/>
    <w:tmpl w:val="41D89058"/>
    <w:lvl w:ilvl="0" w:tplc="9D52E0D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B478D2"/>
    <w:multiLevelType w:val="hybridMultilevel"/>
    <w:tmpl w:val="19EA7C4E"/>
    <w:lvl w:ilvl="0" w:tplc="121409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C132ED9"/>
    <w:multiLevelType w:val="hybridMultilevel"/>
    <w:tmpl w:val="F6B40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8064DB"/>
    <w:multiLevelType w:val="multilevel"/>
    <w:tmpl w:val="2390CB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5"/>
  </w:num>
  <w:num w:numId="3">
    <w:abstractNumId w:val="2"/>
  </w:num>
  <w:num w:numId="4">
    <w:abstractNumId w:val="8"/>
  </w:num>
  <w:num w:numId="5">
    <w:abstractNumId w:val="12"/>
  </w:num>
  <w:num w:numId="6">
    <w:abstractNumId w:val="0"/>
  </w:num>
  <w:num w:numId="7">
    <w:abstractNumId w:val="10"/>
  </w:num>
  <w:num w:numId="8">
    <w:abstractNumId w:val="3"/>
  </w:num>
  <w:num w:numId="9">
    <w:abstractNumId w:val="6"/>
  </w:num>
  <w:num w:numId="10">
    <w:abstractNumId w:val="7"/>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1D"/>
    <w:rsid w:val="00062C7B"/>
    <w:rsid w:val="000778EA"/>
    <w:rsid w:val="0011319B"/>
    <w:rsid w:val="0013021D"/>
    <w:rsid w:val="00160E47"/>
    <w:rsid w:val="00167621"/>
    <w:rsid w:val="00192D18"/>
    <w:rsid w:val="001E77EE"/>
    <w:rsid w:val="001F619A"/>
    <w:rsid w:val="00202B11"/>
    <w:rsid w:val="00227933"/>
    <w:rsid w:val="002538A0"/>
    <w:rsid w:val="00253E70"/>
    <w:rsid w:val="00271E4B"/>
    <w:rsid w:val="002D11CC"/>
    <w:rsid w:val="00346732"/>
    <w:rsid w:val="00432D9A"/>
    <w:rsid w:val="00442815"/>
    <w:rsid w:val="00473E6F"/>
    <w:rsid w:val="00477378"/>
    <w:rsid w:val="004908D5"/>
    <w:rsid w:val="00502511"/>
    <w:rsid w:val="005043B5"/>
    <w:rsid w:val="00514CCA"/>
    <w:rsid w:val="0053025C"/>
    <w:rsid w:val="0053296A"/>
    <w:rsid w:val="005475A7"/>
    <w:rsid w:val="0055572B"/>
    <w:rsid w:val="00584EFF"/>
    <w:rsid w:val="00597B40"/>
    <w:rsid w:val="005A1E6E"/>
    <w:rsid w:val="005A51A1"/>
    <w:rsid w:val="005F67DB"/>
    <w:rsid w:val="00631812"/>
    <w:rsid w:val="00637FB7"/>
    <w:rsid w:val="00647D70"/>
    <w:rsid w:val="0065346F"/>
    <w:rsid w:val="007213C3"/>
    <w:rsid w:val="00721877"/>
    <w:rsid w:val="007307E3"/>
    <w:rsid w:val="00774BBF"/>
    <w:rsid w:val="007777AF"/>
    <w:rsid w:val="007D17EC"/>
    <w:rsid w:val="00827A29"/>
    <w:rsid w:val="008607BA"/>
    <w:rsid w:val="00876EE3"/>
    <w:rsid w:val="008B6221"/>
    <w:rsid w:val="00930E96"/>
    <w:rsid w:val="00986259"/>
    <w:rsid w:val="00AE3D31"/>
    <w:rsid w:val="00AE45E9"/>
    <w:rsid w:val="00B704D1"/>
    <w:rsid w:val="00B82FE0"/>
    <w:rsid w:val="00BA3749"/>
    <w:rsid w:val="00BB0FD2"/>
    <w:rsid w:val="00C17602"/>
    <w:rsid w:val="00C3031B"/>
    <w:rsid w:val="00C71B53"/>
    <w:rsid w:val="00D0735C"/>
    <w:rsid w:val="00D07C0A"/>
    <w:rsid w:val="00D916A9"/>
    <w:rsid w:val="00D95157"/>
    <w:rsid w:val="00DA089C"/>
    <w:rsid w:val="00DA0E96"/>
    <w:rsid w:val="00DF48CE"/>
    <w:rsid w:val="00E66A61"/>
    <w:rsid w:val="00E91CE3"/>
    <w:rsid w:val="00EA1BA5"/>
    <w:rsid w:val="00EC455F"/>
    <w:rsid w:val="00F35B38"/>
    <w:rsid w:val="00F50C2E"/>
    <w:rsid w:val="00F66C3C"/>
    <w:rsid w:val="00F8559D"/>
    <w:rsid w:val="00FF0313"/>
    <w:rsid w:val="00FF2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D446"/>
  <w15:chartTrackingRefBased/>
  <w15:docId w15:val="{809F1D74-3CF8-554C-8E63-05503FE5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FE0"/>
  </w:style>
  <w:style w:type="paragraph" w:styleId="Heading2">
    <w:name w:val="heading 2"/>
    <w:basedOn w:val="Normal"/>
    <w:next w:val="Normal"/>
    <w:link w:val="Heading2Char"/>
    <w:uiPriority w:val="9"/>
    <w:unhideWhenUsed/>
    <w:qFormat/>
    <w:rsid w:val="00062C7B"/>
    <w:pPr>
      <w:keepNext/>
      <w:keepLines/>
      <w:spacing w:before="200"/>
      <w:outlineLvl w:val="1"/>
    </w:pPr>
    <w:rPr>
      <w:rFonts w:asciiTheme="majorHAnsi" w:eastAsiaTheme="majorEastAsia" w:hAnsiTheme="majorHAnsi" w:cstheme="majorBidi"/>
      <w:b/>
      <w:bCs/>
      <w:color w:val="4472C4"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21D"/>
    <w:pPr>
      <w:ind w:left="720"/>
      <w:contextualSpacing/>
    </w:pPr>
  </w:style>
  <w:style w:type="paragraph" w:styleId="BalloonText">
    <w:name w:val="Balloon Text"/>
    <w:basedOn w:val="Normal"/>
    <w:link w:val="BalloonTextChar"/>
    <w:uiPriority w:val="99"/>
    <w:semiHidden/>
    <w:unhideWhenUsed/>
    <w:rsid w:val="002D11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11CC"/>
    <w:rPr>
      <w:rFonts w:ascii="Times New Roman" w:hAnsi="Times New Roman" w:cs="Times New Roman"/>
      <w:sz w:val="18"/>
      <w:szCs w:val="18"/>
    </w:rPr>
  </w:style>
  <w:style w:type="character" w:customStyle="1" w:styleId="Heading2Char">
    <w:name w:val="Heading 2 Char"/>
    <w:basedOn w:val="DefaultParagraphFont"/>
    <w:link w:val="Heading2"/>
    <w:uiPriority w:val="9"/>
    <w:rsid w:val="00062C7B"/>
    <w:rPr>
      <w:rFonts w:asciiTheme="majorHAnsi" w:eastAsiaTheme="majorEastAsia" w:hAnsiTheme="majorHAnsi" w:cstheme="majorBidi"/>
      <w:b/>
      <w:bCs/>
      <w:color w:val="4472C4" w:themeColor="accent1"/>
      <w:sz w:val="26"/>
      <w:szCs w:val="26"/>
      <w:lang w:eastAsia="ja-JP"/>
    </w:rPr>
  </w:style>
  <w:style w:type="paragraph" w:styleId="NormalWeb">
    <w:name w:val="Normal (Web)"/>
    <w:basedOn w:val="Normal"/>
    <w:uiPriority w:val="99"/>
    <w:semiHidden/>
    <w:unhideWhenUsed/>
    <w:rsid w:val="00062C7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67621"/>
    <w:rPr>
      <w:i/>
      <w:iCs/>
    </w:rPr>
  </w:style>
  <w:style w:type="paragraph" w:styleId="Footer">
    <w:name w:val="footer"/>
    <w:basedOn w:val="Normal"/>
    <w:link w:val="FooterChar"/>
    <w:uiPriority w:val="99"/>
    <w:unhideWhenUsed/>
    <w:rsid w:val="004908D5"/>
    <w:pPr>
      <w:tabs>
        <w:tab w:val="center" w:pos="4513"/>
        <w:tab w:val="right" w:pos="9026"/>
      </w:tabs>
    </w:pPr>
  </w:style>
  <w:style w:type="character" w:customStyle="1" w:styleId="FooterChar">
    <w:name w:val="Footer Char"/>
    <w:basedOn w:val="DefaultParagraphFont"/>
    <w:link w:val="Footer"/>
    <w:uiPriority w:val="99"/>
    <w:rsid w:val="004908D5"/>
  </w:style>
  <w:style w:type="character" w:styleId="PageNumber">
    <w:name w:val="page number"/>
    <w:basedOn w:val="DefaultParagraphFont"/>
    <w:uiPriority w:val="99"/>
    <w:semiHidden/>
    <w:unhideWhenUsed/>
    <w:rsid w:val="00490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542820">
      <w:bodyDiv w:val="1"/>
      <w:marLeft w:val="0"/>
      <w:marRight w:val="0"/>
      <w:marTop w:val="0"/>
      <w:marBottom w:val="0"/>
      <w:divBdr>
        <w:top w:val="none" w:sz="0" w:space="0" w:color="auto"/>
        <w:left w:val="none" w:sz="0" w:space="0" w:color="auto"/>
        <w:bottom w:val="none" w:sz="0" w:space="0" w:color="auto"/>
        <w:right w:val="none" w:sz="0" w:space="0" w:color="auto"/>
      </w:divBdr>
    </w:div>
    <w:div w:id="536311172">
      <w:bodyDiv w:val="1"/>
      <w:marLeft w:val="0"/>
      <w:marRight w:val="0"/>
      <w:marTop w:val="0"/>
      <w:marBottom w:val="0"/>
      <w:divBdr>
        <w:top w:val="none" w:sz="0" w:space="0" w:color="auto"/>
        <w:left w:val="none" w:sz="0" w:space="0" w:color="auto"/>
        <w:bottom w:val="none" w:sz="0" w:space="0" w:color="auto"/>
        <w:right w:val="none" w:sz="0" w:space="0" w:color="auto"/>
      </w:divBdr>
    </w:div>
    <w:div w:id="815100483">
      <w:bodyDiv w:val="1"/>
      <w:marLeft w:val="0"/>
      <w:marRight w:val="0"/>
      <w:marTop w:val="0"/>
      <w:marBottom w:val="0"/>
      <w:divBdr>
        <w:top w:val="none" w:sz="0" w:space="0" w:color="auto"/>
        <w:left w:val="none" w:sz="0" w:space="0" w:color="auto"/>
        <w:bottom w:val="none" w:sz="0" w:space="0" w:color="auto"/>
        <w:right w:val="none" w:sz="0" w:space="0" w:color="auto"/>
      </w:divBdr>
    </w:div>
    <w:div w:id="1665817756">
      <w:bodyDiv w:val="1"/>
      <w:marLeft w:val="0"/>
      <w:marRight w:val="0"/>
      <w:marTop w:val="0"/>
      <w:marBottom w:val="0"/>
      <w:divBdr>
        <w:top w:val="none" w:sz="0" w:space="0" w:color="auto"/>
        <w:left w:val="none" w:sz="0" w:space="0" w:color="auto"/>
        <w:bottom w:val="none" w:sz="0" w:space="0" w:color="auto"/>
        <w:right w:val="none" w:sz="0" w:space="0" w:color="auto"/>
      </w:divBdr>
    </w:div>
    <w:div w:id="168817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6DBF1C8D5A14B8D776E057FBC622F" ma:contentTypeVersion="17" ma:contentTypeDescription="Create a new document." ma:contentTypeScope="" ma:versionID="36749469f7f9037be855fc6068005bf8">
  <xsd:schema xmlns:xsd="http://www.w3.org/2001/XMLSchema" xmlns:xs="http://www.w3.org/2001/XMLSchema" xmlns:p="http://schemas.microsoft.com/office/2006/metadata/properties" xmlns:ns1="http://schemas.microsoft.com/sharepoint/v3" xmlns:ns2="b5d803c6-5240-4ffd-a703-b2ba98a179cf" xmlns:ns3="f9bb0f4b-0ab8-479b-9829-eaee6f9a44ff" targetNamespace="http://schemas.microsoft.com/office/2006/metadata/properties" ma:root="true" ma:fieldsID="a88a6464918086ecfae46a174b299f14" ns1:_="" ns2:_="" ns3:_="">
    <xsd:import namespace="http://schemas.microsoft.com/sharepoint/v3"/>
    <xsd:import namespace="b5d803c6-5240-4ffd-a703-b2ba98a179cf"/>
    <xsd:import namespace="f9bb0f4b-0ab8-479b-9829-eaee6f9a44ff"/>
    <xsd:element name="properties">
      <xsd:complexType>
        <xsd:sequence>
          <xsd:element name="documentManagement">
            <xsd:complexType>
              <xsd:all>
                <xsd:element ref="ns2:SharedWithUsers" minOccurs="0"/>
                <xsd:element ref="ns2:SharedWithDetails" minOccurs="0"/>
                <xsd:element ref="ns3:created_x0021_"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test"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803c6-5240-4ffd-a703-b2ba98a179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b0f4b-0ab8-479b-9829-eaee6f9a44ff" elementFormDefault="qualified">
    <xsd:import namespace="http://schemas.microsoft.com/office/2006/documentManagement/types"/>
    <xsd:import namespace="http://schemas.microsoft.com/office/infopath/2007/PartnerControls"/>
    <xsd:element name="created_x0021_" ma:index="10" nillable="true" ma:displayName="created!" ma:format="DateOnly" ma:internalName="created_x0021_">
      <xsd:simpleType>
        <xsd:restriction base="dms:DateTime"/>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test" ma:index="21" nillable="true" ma:displayName="test" ma:internalName="test">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est xmlns="f9bb0f4b-0ab8-479b-9829-eaee6f9a44ff" xsi:nil="true"/>
    <created_x0021_ xmlns="f9bb0f4b-0ab8-479b-9829-eaee6f9a44ff"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3F86A-7099-46F9-A26C-FE5B1B78A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d803c6-5240-4ffd-a703-b2ba98a179cf"/>
    <ds:schemaRef ds:uri="f9bb0f4b-0ab8-479b-9829-eaee6f9a4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EC57A-CE85-4657-867C-C4E89D7F74A0}">
  <ds:schemaRefs>
    <ds:schemaRef ds:uri="http://schemas.microsoft.com/office/infopath/2007/PartnerControls"/>
    <ds:schemaRef ds:uri="http://purl.org/dc/dcmitype/"/>
    <ds:schemaRef ds:uri="http://schemas.microsoft.com/office/2006/metadata/properties"/>
    <ds:schemaRef ds:uri="http://purl.org/dc/elements/1.1/"/>
    <ds:schemaRef ds:uri="http://schemas.microsoft.com/sharepoint/v3"/>
    <ds:schemaRef ds:uri="f9bb0f4b-0ab8-479b-9829-eaee6f9a44ff"/>
    <ds:schemaRef ds:uri="http://schemas.openxmlformats.org/package/2006/metadata/core-properties"/>
    <ds:schemaRef ds:uri="http://purl.org/dc/terms/"/>
    <ds:schemaRef ds:uri="http://schemas.microsoft.com/office/2006/documentManagement/types"/>
    <ds:schemaRef ds:uri="b5d803c6-5240-4ffd-a703-b2ba98a179cf"/>
    <ds:schemaRef ds:uri="http://www.w3.org/XML/1998/namespace"/>
  </ds:schemaRefs>
</ds:datastoreItem>
</file>

<file path=customXml/itemProps3.xml><?xml version="1.0" encoding="utf-8"?>
<ds:datastoreItem xmlns:ds="http://schemas.openxmlformats.org/officeDocument/2006/customXml" ds:itemID="{922EE62B-4A17-4640-AC49-6C59CED11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3552</Words>
  <Characters>20248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Araujo</dc:creator>
  <cp:keywords/>
  <dc:description/>
  <cp:lastModifiedBy>Carol Smithyes</cp:lastModifiedBy>
  <cp:revision>3</cp:revision>
  <dcterms:created xsi:type="dcterms:W3CDTF">2020-07-12T07:25:00Z</dcterms:created>
  <dcterms:modified xsi:type="dcterms:W3CDTF">2021-01-20T13:00:00Z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0x010100A836DBF1C8D5A14B8D776E057FBC622F</vt:lpwstr>
  </property>
</Properties>
</file>